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82" w:rsidRDefault="00E86982" w:rsidP="00E86982">
      <w:pPr>
        <w:pStyle w:val="Balk3"/>
        <w:numPr>
          <w:ilvl w:val="0"/>
          <w:numId w:val="0"/>
        </w:numPr>
        <w:spacing w:after="120"/>
        <w:rPr>
          <w:color w:val="FF0000"/>
          <w:u w:val="single"/>
        </w:rPr>
      </w:pPr>
      <w:bookmarkStart w:id="0" w:name="_Toc329101252"/>
    </w:p>
    <w:p w:rsidR="00E86982" w:rsidRDefault="00E86982" w:rsidP="00E86982">
      <w:pPr>
        <w:pStyle w:val="Balk3"/>
        <w:numPr>
          <w:ilvl w:val="0"/>
          <w:numId w:val="0"/>
        </w:numPr>
        <w:spacing w:after="120"/>
        <w:rPr>
          <w:color w:val="FF0000"/>
          <w:u w:val="single"/>
        </w:rPr>
      </w:pPr>
    </w:p>
    <w:p w:rsidR="00E86982" w:rsidRDefault="00E86982" w:rsidP="00E86982">
      <w:pPr>
        <w:pStyle w:val="Balk3"/>
        <w:numPr>
          <w:ilvl w:val="0"/>
          <w:numId w:val="0"/>
        </w:numPr>
        <w:spacing w:after="120"/>
        <w:rPr>
          <w:color w:val="FF0000"/>
          <w:u w:val="single"/>
        </w:rPr>
      </w:pPr>
    </w:p>
    <w:p w:rsidR="00E86982" w:rsidRDefault="00E86982" w:rsidP="00E86982">
      <w:pPr>
        <w:pStyle w:val="Balk3"/>
        <w:numPr>
          <w:ilvl w:val="0"/>
          <w:numId w:val="0"/>
        </w:numPr>
        <w:spacing w:after="120"/>
        <w:rPr>
          <w:color w:val="FF0000"/>
          <w:u w:val="single"/>
        </w:rPr>
      </w:pPr>
    </w:p>
    <w:p w:rsidR="00E86982" w:rsidRDefault="00E86982" w:rsidP="00E86982">
      <w:pPr>
        <w:pStyle w:val="Balk3"/>
        <w:numPr>
          <w:ilvl w:val="0"/>
          <w:numId w:val="0"/>
        </w:numPr>
        <w:spacing w:after="120"/>
        <w:rPr>
          <w:color w:val="FF0000"/>
          <w:u w:val="single"/>
        </w:rPr>
      </w:pPr>
    </w:p>
    <w:p w:rsidR="00E86982" w:rsidRDefault="00E86982" w:rsidP="00E86982">
      <w:pPr>
        <w:pStyle w:val="Balk3"/>
        <w:numPr>
          <w:ilvl w:val="0"/>
          <w:numId w:val="0"/>
        </w:numPr>
        <w:spacing w:after="120"/>
        <w:rPr>
          <w:color w:val="FF0000"/>
          <w:u w:val="single"/>
        </w:rPr>
      </w:pPr>
    </w:p>
    <w:p w:rsidR="00E86982" w:rsidRDefault="00E86982" w:rsidP="00E86982">
      <w:pPr>
        <w:pStyle w:val="Balk3"/>
        <w:numPr>
          <w:ilvl w:val="0"/>
          <w:numId w:val="0"/>
        </w:numPr>
        <w:spacing w:after="120"/>
        <w:rPr>
          <w:color w:val="FF0000"/>
          <w:u w:val="single"/>
        </w:rPr>
      </w:pPr>
    </w:p>
    <w:p w:rsidR="00E86982" w:rsidRDefault="00E86982" w:rsidP="00E86982">
      <w:pPr>
        <w:pStyle w:val="Balk3"/>
        <w:numPr>
          <w:ilvl w:val="0"/>
          <w:numId w:val="0"/>
        </w:numPr>
        <w:spacing w:after="120"/>
        <w:rPr>
          <w:color w:val="FF0000"/>
          <w:u w:val="single"/>
        </w:rPr>
      </w:pPr>
    </w:p>
    <w:p w:rsidR="00E86982" w:rsidRDefault="00E86982" w:rsidP="00E86982">
      <w:pPr>
        <w:pStyle w:val="Balk3"/>
        <w:numPr>
          <w:ilvl w:val="0"/>
          <w:numId w:val="0"/>
        </w:numPr>
        <w:spacing w:after="120"/>
        <w:rPr>
          <w:color w:val="FF0000"/>
          <w:u w:val="single"/>
        </w:rPr>
      </w:pPr>
    </w:p>
    <w:p w:rsidR="00E86982" w:rsidRDefault="00E86982" w:rsidP="00E86982">
      <w:pPr>
        <w:pStyle w:val="Balk3"/>
        <w:numPr>
          <w:ilvl w:val="0"/>
          <w:numId w:val="0"/>
        </w:numPr>
        <w:spacing w:after="120"/>
        <w:rPr>
          <w:color w:val="FF0000"/>
          <w:u w:val="single"/>
        </w:rPr>
      </w:pPr>
    </w:p>
    <w:p w:rsidR="00E86982" w:rsidRDefault="00E86982" w:rsidP="00E86982">
      <w:pPr>
        <w:pStyle w:val="Balk3"/>
        <w:numPr>
          <w:ilvl w:val="0"/>
          <w:numId w:val="0"/>
        </w:numPr>
        <w:spacing w:after="120"/>
        <w:rPr>
          <w:color w:val="FF0000"/>
          <w:sz w:val="48"/>
          <w:szCs w:val="48"/>
          <w:u w:val="single"/>
        </w:rPr>
      </w:pPr>
      <w:r w:rsidRPr="00E86982">
        <w:rPr>
          <w:color w:val="FF0000"/>
          <w:sz w:val="48"/>
          <w:szCs w:val="48"/>
          <w:u w:val="single"/>
        </w:rPr>
        <w:t xml:space="preserve">NOT : </w:t>
      </w:r>
    </w:p>
    <w:p w:rsidR="00E86982" w:rsidRDefault="00E86982" w:rsidP="00E86982">
      <w:pPr>
        <w:pStyle w:val="Balk3"/>
        <w:numPr>
          <w:ilvl w:val="0"/>
          <w:numId w:val="0"/>
        </w:numPr>
        <w:spacing w:after="120"/>
        <w:jc w:val="left"/>
        <w:rPr>
          <w:color w:val="FF0000"/>
          <w:sz w:val="48"/>
          <w:szCs w:val="48"/>
          <w:u w:val="single"/>
        </w:rPr>
      </w:pPr>
    </w:p>
    <w:p w:rsidR="00E86982" w:rsidRPr="00E86982" w:rsidRDefault="00E86982" w:rsidP="00E86982">
      <w:pPr>
        <w:pStyle w:val="Balk3"/>
        <w:numPr>
          <w:ilvl w:val="0"/>
          <w:numId w:val="0"/>
        </w:numPr>
        <w:spacing w:after="120"/>
        <w:jc w:val="left"/>
        <w:rPr>
          <w:color w:val="FF0000"/>
          <w:sz w:val="48"/>
          <w:szCs w:val="48"/>
          <w:u w:val="single"/>
        </w:rPr>
      </w:pPr>
      <w:r>
        <w:rPr>
          <w:color w:val="FF0000"/>
          <w:sz w:val="48"/>
          <w:szCs w:val="48"/>
          <w:u w:val="single"/>
        </w:rPr>
        <w:t xml:space="preserve">AŞAĞIDAKİ VERİLER </w:t>
      </w:r>
      <w:r w:rsidR="00A773A0">
        <w:rPr>
          <w:color w:val="FF0000"/>
          <w:sz w:val="48"/>
          <w:szCs w:val="48"/>
          <w:u w:val="single"/>
        </w:rPr>
        <w:t>2014</w:t>
      </w:r>
      <w:r w:rsidRPr="00E86982">
        <w:rPr>
          <w:color w:val="FF0000"/>
          <w:sz w:val="48"/>
          <w:szCs w:val="48"/>
          <w:u w:val="single"/>
        </w:rPr>
        <w:t xml:space="preserve"> YILI GERÇEKLEŞTİRMESİNE GÖRE VERİLE</w:t>
      </w:r>
      <w:r>
        <w:rPr>
          <w:color w:val="FF0000"/>
          <w:sz w:val="48"/>
          <w:szCs w:val="48"/>
          <w:u w:val="single"/>
        </w:rPr>
        <w:t>RİN GÜNCELLENMESİ GEREKMEKTEDİR.</w:t>
      </w:r>
    </w:p>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Default="00E86982" w:rsidP="00E86982"/>
    <w:p w:rsidR="00E86982" w:rsidRPr="00554B49" w:rsidRDefault="00E86982" w:rsidP="00E86982">
      <w:pPr>
        <w:pStyle w:val="Balk3"/>
        <w:numPr>
          <w:ilvl w:val="0"/>
          <w:numId w:val="0"/>
        </w:numPr>
        <w:spacing w:after="120"/>
      </w:pPr>
      <w:r w:rsidRPr="00554B49">
        <w:lastRenderedPageBreak/>
        <w:t>Fiziksel Yapı</w:t>
      </w:r>
      <w:bookmarkEnd w:id="0"/>
    </w:p>
    <w:p w:rsidR="00E86982" w:rsidRPr="00554B49" w:rsidRDefault="00E86982" w:rsidP="00E86982">
      <w:pPr>
        <w:pStyle w:val="Balk4"/>
        <w:spacing w:before="120" w:after="120"/>
        <w:ind w:left="862" w:hanging="862"/>
      </w:pPr>
      <w:bookmarkStart w:id="1" w:name="_Toc329101253"/>
      <w:r w:rsidRPr="00554B49">
        <w:t>Yüzölçümü</w:t>
      </w:r>
      <w:bookmarkEnd w:id="1"/>
    </w:p>
    <w:p w:rsidR="00E86982" w:rsidRPr="00554B49" w:rsidRDefault="00E86982" w:rsidP="00E86982">
      <w:pPr>
        <w:spacing w:before="120" w:after="120"/>
      </w:pPr>
      <w:r w:rsidRPr="00554B49">
        <w:t xml:space="preserve">Üniversitenin yüzölçümü “Kamu idarelerine ait taşınmazların kaydına ilişkin yönetmelik”te belirlenen sınıflandırmaya göre hesaplandığında arsa, arazi, orman vb. alan toplamı olarak </w:t>
      </w:r>
      <w:r w:rsidRPr="00554B49">
        <w:rPr>
          <w:bCs/>
          <w:sz w:val="22"/>
          <w:szCs w:val="22"/>
        </w:rPr>
        <w:t xml:space="preserve">23.748.408 </w:t>
      </w:r>
      <w:r w:rsidRPr="00554B49">
        <w:t>m</w:t>
      </w:r>
      <w:r w:rsidRPr="00554B49">
        <w:rPr>
          <w:vertAlign w:val="superscript"/>
        </w:rPr>
        <w:t>2</w:t>
      </w:r>
      <w:r w:rsidRPr="00554B49">
        <w:t>’dir. Yönetmelikte Ek-1/A’da sayılan “Tapuda kayıtlı olan taşınmazlar” coğrafî olarak Isparta merkez yerleşkeleri ve merkez dışı yerleşkeler olarak sınıflandırılmıştır. Kendi içinde de il-ilçe sınırlarına göre alt ayrım da gösterilmiştir.</w:t>
      </w:r>
    </w:p>
    <w:p w:rsidR="00E86982" w:rsidRPr="00554B49" w:rsidRDefault="00E86982" w:rsidP="00E86982">
      <w:pPr>
        <w:pStyle w:val="ListeParagraf"/>
        <w:numPr>
          <w:ilvl w:val="0"/>
          <w:numId w:val="2"/>
        </w:numPr>
        <w:spacing w:before="120" w:after="120"/>
      </w:pPr>
      <w:r w:rsidRPr="00554B49">
        <w:t>Isparta Merkez Yerleşkeleri</w:t>
      </w:r>
    </w:p>
    <w:p w:rsidR="00E86982" w:rsidRPr="00554B49" w:rsidRDefault="00E86982" w:rsidP="00E86982">
      <w:pPr>
        <w:pStyle w:val="ListeParagraf"/>
        <w:numPr>
          <w:ilvl w:val="1"/>
          <w:numId w:val="2"/>
        </w:numPr>
        <w:spacing w:before="120" w:after="120"/>
      </w:pPr>
      <w:r w:rsidRPr="00554B49">
        <w:t xml:space="preserve">Batı Yerleşkesi </w:t>
      </w:r>
    </w:p>
    <w:p w:rsidR="00E86982" w:rsidRPr="00554B49" w:rsidRDefault="00E86982" w:rsidP="00E86982">
      <w:pPr>
        <w:pStyle w:val="ListeParagraf"/>
        <w:numPr>
          <w:ilvl w:val="1"/>
          <w:numId w:val="2"/>
        </w:numPr>
        <w:spacing w:before="120" w:after="120"/>
      </w:pPr>
      <w:r w:rsidRPr="00554B49">
        <w:t>Doğu Yerleşkesi</w:t>
      </w:r>
    </w:p>
    <w:p w:rsidR="00E86982" w:rsidRPr="00554B49" w:rsidRDefault="00E86982" w:rsidP="00E86982">
      <w:pPr>
        <w:pStyle w:val="ListeParagraf"/>
        <w:numPr>
          <w:ilvl w:val="1"/>
          <w:numId w:val="2"/>
        </w:numPr>
        <w:spacing w:before="120" w:after="120"/>
      </w:pPr>
      <w:r w:rsidRPr="00554B49">
        <w:t>Diğer Yerleşkeler</w:t>
      </w:r>
    </w:p>
    <w:p w:rsidR="00E86982" w:rsidRPr="00554B49" w:rsidRDefault="00E86982" w:rsidP="00E86982">
      <w:pPr>
        <w:pStyle w:val="ListeParagraf"/>
        <w:numPr>
          <w:ilvl w:val="0"/>
          <w:numId w:val="2"/>
        </w:numPr>
        <w:spacing w:before="120" w:after="120"/>
      </w:pPr>
      <w:r w:rsidRPr="00554B49">
        <w:t>Merkez Dışı Yerleşkeler</w:t>
      </w:r>
    </w:p>
    <w:p w:rsidR="00E86982" w:rsidRPr="00554B49" w:rsidRDefault="00E86982" w:rsidP="00E86982">
      <w:pPr>
        <w:pStyle w:val="ListeParagraf"/>
        <w:numPr>
          <w:ilvl w:val="1"/>
          <w:numId w:val="2"/>
        </w:numPr>
        <w:spacing w:before="120" w:after="120"/>
      </w:pPr>
      <w:r w:rsidRPr="00554B49">
        <w:t>Isparta İlçelerindeki Yerleşkeler</w:t>
      </w:r>
    </w:p>
    <w:p w:rsidR="00E86982" w:rsidRPr="00554B49" w:rsidRDefault="00E86982" w:rsidP="00E86982">
      <w:pPr>
        <w:pStyle w:val="ListeParagraf"/>
        <w:numPr>
          <w:ilvl w:val="1"/>
          <w:numId w:val="2"/>
        </w:numPr>
        <w:spacing w:before="120" w:after="120"/>
      </w:pPr>
      <w:r w:rsidRPr="00554B49">
        <w:t>Aydın-Kuşadası Yerleşkesi</w:t>
      </w:r>
    </w:p>
    <w:p w:rsidR="00E86982" w:rsidRPr="00554B49" w:rsidRDefault="00E86982" w:rsidP="00E86982">
      <w:pPr>
        <w:pStyle w:val="ListeParagraf"/>
        <w:numPr>
          <w:ilvl w:val="1"/>
          <w:numId w:val="2"/>
        </w:numPr>
        <w:spacing w:before="120" w:after="120"/>
      </w:pPr>
      <w:r w:rsidRPr="00554B49">
        <w:t>Burdur-Ağlasun Orman Fakültesi Uygulama Alanı</w:t>
      </w:r>
    </w:p>
    <w:p w:rsidR="00E86982" w:rsidRPr="00554B49" w:rsidRDefault="00E86982" w:rsidP="00E86982">
      <w:pPr>
        <w:spacing w:before="120" w:after="120"/>
      </w:pPr>
      <w:r w:rsidRPr="00554B49">
        <w:t>Üniversitemizin merkez yerleşkesi Çünür’e bitişik; kuzeye ve batıya doğru açılan Ankara, İstanbul ve İzmir’e ulaşımın sağlandığı karayolunun iki tarafında konumlanmıştır. Konumuna göre Doğu ve Batı olarak adlandırılan yerleşke, yaklaşık 650 hektarlık arazi üzerine yapılanmıştır.</w:t>
      </w:r>
    </w:p>
    <w:p w:rsidR="00E86982" w:rsidRPr="00554B49" w:rsidRDefault="00E86982" w:rsidP="00E86982">
      <w:pPr>
        <w:spacing w:before="120" w:after="120"/>
      </w:pPr>
      <w:r w:rsidRPr="00554B49">
        <w:t>Batı yerleşkesi toplam 3.476.373,37 m</w:t>
      </w:r>
      <w:r w:rsidRPr="00554B49">
        <w:rPr>
          <w:vertAlign w:val="superscript"/>
        </w:rPr>
        <w:t>2</w:t>
      </w:r>
      <w:r w:rsidRPr="00554B49">
        <w:t>’lik alanda konumlanmış olup; bu alanın 168.022,98 m</w:t>
      </w:r>
      <w:r w:rsidRPr="00554B49">
        <w:rPr>
          <w:vertAlign w:val="superscript"/>
        </w:rPr>
        <w:t>2</w:t>
      </w:r>
      <w:r w:rsidRPr="00554B49">
        <w:t>’si üniversiteye ait, 808.350,39 m</w:t>
      </w:r>
      <w:r w:rsidRPr="00554B49">
        <w:rPr>
          <w:vertAlign w:val="superscript"/>
        </w:rPr>
        <w:t>2</w:t>
      </w:r>
      <w:r w:rsidRPr="00554B49">
        <w:t>’lik bölümü Milli Emlak Genel Müdürlüğü’nden üniversiteye tahsis edilmiş, 2.500.000 m</w:t>
      </w:r>
      <w:r w:rsidRPr="00554B49">
        <w:rPr>
          <w:vertAlign w:val="superscript"/>
        </w:rPr>
        <w:t>2</w:t>
      </w:r>
      <w:r w:rsidRPr="00554B49">
        <w:t xml:space="preserve">’lik kısmı ise Orman Genel Müdürlüğü’nden 49 yıllığına tahsis edilen Söbü Tepesi ormanlık alanıdır. </w:t>
      </w:r>
    </w:p>
    <w:p w:rsidR="00E86982" w:rsidRPr="00554B49" w:rsidRDefault="00E86982" w:rsidP="00E86982">
      <w:pPr>
        <w:spacing w:before="120" w:after="120"/>
      </w:pPr>
      <w:r w:rsidRPr="00554B49">
        <w:t>Üniversitemiz Rektörlüğünün ve daire başkanlıklarının da bulunduğu Batı yerleşkesinde; Mühendislik Mimarlık Fakültesi, Teknik Eğitim Fakültesi, Teknoloji Fakültesi ve Isparta Meslek Yüksekokulu öğretim faaliyetlerine devam etmektedir.</w:t>
      </w:r>
    </w:p>
    <w:p w:rsidR="00E86982" w:rsidRPr="00554B49" w:rsidRDefault="00E86982" w:rsidP="00E86982">
      <w:pPr>
        <w:spacing w:before="120" w:after="120"/>
      </w:pPr>
      <w:r w:rsidRPr="00554B49">
        <w:t>Doğu Yerleşkesinin toplam alanı İl Özel İdaresinden tahsisli Botanik Bahçesi ile birlikte 2.679.882,57 m</w:t>
      </w:r>
      <w:r w:rsidRPr="00554B49">
        <w:rPr>
          <w:vertAlign w:val="superscript"/>
        </w:rPr>
        <w:t>2</w:t>
      </w:r>
      <w:r w:rsidRPr="00554B49">
        <w:t>’ye erişmekte; Botanik Bahçesi 257.180,50 m</w:t>
      </w:r>
      <w:r w:rsidRPr="00554B49">
        <w:rPr>
          <w:vertAlign w:val="superscript"/>
        </w:rPr>
        <w:t>2</w:t>
      </w:r>
      <w:r w:rsidRPr="00554B49">
        <w:t>, diğer alanlar 2.422.702,07 m</w:t>
      </w:r>
      <w:r w:rsidRPr="00554B49">
        <w:rPr>
          <w:vertAlign w:val="superscript"/>
        </w:rPr>
        <w:t>2</w:t>
      </w:r>
      <w:r w:rsidRPr="00554B49">
        <w:t>’dir. Bu alanda Üniversitenin mülkiyetindeki toplam alan 2.382.133,78 m</w:t>
      </w:r>
      <w:r w:rsidRPr="00554B49">
        <w:rPr>
          <w:vertAlign w:val="superscript"/>
        </w:rPr>
        <w:t>2</w:t>
      </w:r>
      <w:r w:rsidRPr="00554B49">
        <w:t>’dir. Geriye kalan alanın 24.713,29 m</w:t>
      </w:r>
      <w:r w:rsidRPr="00554B49">
        <w:rPr>
          <w:vertAlign w:val="superscript"/>
        </w:rPr>
        <w:t>2</w:t>
      </w:r>
      <w:r w:rsidRPr="00554B49">
        <w:t>’lik kısmı Milli Emlak Genel Müdürlüğü’nden, 15.855,00 m</w:t>
      </w:r>
      <w:r w:rsidRPr="00554B49">
        <w:rPr>
          <w:vertAlign w:val="superscript"/>
        </w:rPr>
        <w:t>2</w:t>
      </w:r>
      <w:r w:rsidRPr="00554B49">
        <w:t>’lik kısmı ise Orman Genel Müdürlüğü’nden 49 yıllığına Üniversiteye tahsis edilmiştir. Üniversitenin su ihtiyacının karşılandığı iki adet su deposu da bu yerleşkededir. Doğu Yerleşkesinde; Tıp Fakültesi, Diş Hekimliği Fakültesi, Isparta Sağlık Yüksekokulu, Yabancı Diller Yüksekokulu, Sağlık Araştırma ve Uygulama Hastanesi, Fen Edebiyat Fakültesi, Orman Fakültesi, Ziraat Fakültesi, İktisadi ve İdari Bilimler Fakültesi, İlahiyat Fakültesi, Hukuk Fakültesi ve Eğitim Fakültesi bulunmaktadır. Orman Fakültesinin binasında ise Sosyal Bilimler, Sağlık Bilimleri ve Fen Bilimleri Enstitüsü çalışmalarını yürütmektedir. Bunlara ek olarak Merkezi Derslikler binasında Kütüphane ve Dokümantasyon Daire Başkanlığı, Güzel Sanatlar Fakültesi ve Güzel Sanatlar Enstitüsü faaliyetlerine devam etmektedir.</w:t>
      </w:r>
    </w:p>
    <w:p w:rsidR="00E86982" w:rsidRPr="00554B49" w:rsidRDefault="00E86982" w:rsidP="00E86982">
      <w:pPr>
        <w:spacing w:before="120" w:after="120"/>
      </w:pPr>
      <w:r w:rsidRPr="00554B49">
        <w:t>Isparta Merkezinde yer alan diğer yerleşkelerde; Isparta Sağlık Hizmetleri Meslek Yüksekokulu, Onkoloji ve Kalp Merkezi faaliyet göstermektedir. Ayrıca il merkezinde üniversitenin kullanımında olan Üniversite Konukevi, Demiralay Konağı, Aya Yorgi ve Aya Payana Kiliseleri, Eski Diş Hekimliği Fakültesi ve yapımı süren Davraz Dağı Tesisleri yer almaktadır. Su pompalarının olduğu alanların da içine alındığı bir hesaplamada il merkezinde Doğu ve Batı Yerleşkeleri dışındaki alanlar toplam 73.368,24 m</w:t>
      </w:r>
      <w:r w:rsidRPr="00554B49">
        <w:rPr>
          <w:vertAlign w:val="superscript"/>
        </w:rPr>
        <w:t>2</w:t>
      </w:r>
      <w:r w:rsidRPr="00554B49">
        <w:t>’dir.</w:t>
      </w:r>
    </w:p>
    <w:p w:rsidR="00E86982" w:rsidRPr="00554B49" w:rsidRDefault="00E86982" w:rsidP="00E86982">
      <w:pPr>
        <w:spacing w:before="120" w:after="120"/>
      </w:pPr>
      <w:r w:rsidRPr="00554B49">
        <w:lastRenderedPageBreak/>
        <w:t>Keçiborlu, Uluborlu (Selahattin Karasoy), Senirkent, Atabey, Gelendost, Şarkîkaraağaç, Sütçüler (Prof. Dr. Hasan Gürbüz), Aksu (Mehmet Süreyya Demiraslan), Yalvaç, Gönen, Eğirdir Meslek Yüksekokulları öğretimi ilçelerdeki binalarda sürdürmektedir. Ayrıca ilçelerde bulunan tek fakülte ise, Eğirdir Su Ürünleri Fakültesi olup tek yüksekokul ise Yalvaç Uygulamalı Bilimler Yüksekokuludur. Üniversitenin Isparta ilçelerindeki yerleşkeleri, sosyal tesisleri ve uygulama alanları, Orman Fakültesi’ne uygulama alanı olarak tahsis edilen 14.485.000 m</w:t>
      </w:r>
      <w:r w:rsidRPr="00554B49">
        <w:rPr>
          <w:vertAlign w:val="superscript"/>
        </w:rPr>
        <w:t>2</w:t>
      </w:r>
      <w:r w:rsidRPr="00554B49">
        <w:t>’de hesaplandığında toplam 15.930.644,20 m</w:t>
      </w:r>
      <w:r w:rsidRPr="00554B49">
        <w:rPr>
          <w:vertAlign w:val="superscript"/>
        </w:rPr>
        <w:t>2</w:t>
      </w:r>
      <w:r w:rsidRPr="00554B49">
        <w:t>’dir.</w:t>
      </w:r>
    </w:p>
    <w:p w:rsidR="00E86982" w:rsidRPr="00554B49" w:rsidRDefault="00E86982" w:rsidP="00E86982">
      <w:pPr>
        <w:spacing w:before="120" w:after="240"/>
      </w:pPr>
      <w:r w:rsidRPr="00554B49">
        <w:t>Üniversitemize bağlı olup Isparta il sınırları dışında faaliyet gösteren birimimiz Aydın’ın Kuşadası ilçesinde bulunan sosyal tesis olarak kullanılan Emre Otel 254,62 m</w:t>
      </w:r>
      <w:r w:rsidRPr="00554B49">
        <w:rPr>
          <w:vertAlign w:val="superscript"/>
        </w:rPr>
        <w:t>2</w:t>
      </w:r>
      <w:r w:rsidRPr="00554B49">
        <w:t>’dir. Ayrıca Orman Fakültesi’ne tahsis edilen Burdur-Ağlasun uygulama alanı da 1.585.000 m</w:t>
      </w:r>
      <w:r w:rsidRPr="00554B49">
        <w:rPr>
          <w:vertAlign w:val="superscript"/>
        </w:rPr>
        <w:t>2</w:t>
      </w:r>
      <w:r w:rsidRPr="00554B49">
        <w:t>’dir.</w:t>
      </w:r>
    </w:p>
    <w:tbl>
      <w:tblPr>
        <w:tblW w:w="9072" w:type="dxa"/>
        <w:tblCellMar>
          <w:left w:w="70" w:type="dxa"/>
          <w:right w:w="70" w:type="dxa"/>
        </w:tblCellMar>
        <w:tblLook w:val="00A0"/>
      </w:tblPr>
      <w:tblGrid>
        <w:gridCol w:w="7038"/>
        <w:gridCol w:w="2034"/>
      </w:tblGrid>
      <w:tr w:rsidR="00E86982" w:rsidRPr="00525094" w:rsidTr="00E84A98">
        <w:trPr>
          <w:trHeight w:val="255"/>
        </w:trPr>
        <w:tc>
          <w:tcPr>
            <w:tcW w:w="7038" w:type="dxa"/>
            <w:tcBorders>
              <w:top w:val="single" w:sz="4" w:space="0" w:color="auto"/>
              <w:left w:val="single" w:sz="4" w:space="0" w:color="auto"/>
              <w:bottom w:val="single" w:sz="4" w:space="0" w:color="auto"/>
              <w:right w:val="single" w:sz="4" w:space="0" w:color="auto"/>
            </w:tcBorders>
            <w:shd w:val="clear" w:color="000000" w:fill="FFFFFF"/>
            <w:vAlign w:val="center"/>
          </w:tcPr>
          <w:p w:rsidR="00E86982" w:rsidRPr="00525094" w:rsidRDefault="00E86982" w:rsidP="00E84A98">
            <w:pPr>
              <w:jc w:val="center"/>
              <w:rPr>
                <w:b/>
                <w:bCs/>
                <w:sz w:val="20"/>
                <w:szCs w:val="20"/>
              </w:rPr>
            </w:pPr>
            <w:r w:rsidRPr="00525094">
              <w:rPr>
                <w:b/>
                <w:bCs/>
                <w:sz w:val="20"/>
                <w:szCs w:val="20"/>
              </w:rPr>
              <w:t>SÜLEYMAN DEMİREL ÜNİVERSİTESİ YERLEŞKE VE ALANLARI</w:t>
            </w:r>
          </w:p>
        </w:tc>
        <w:tc>
          <w:tcPr>
            <w:tcW w:w="2034" w:type="dxa"/>
            <w:tcBorders>
              <w:top w:val="single" w:sz="4" w:space="0" w:color="auto"/>
              <w:left w:val="single" w:sz="4" w:space="0" w:color="auto"/>
              <w:bottom w:val="single" w:sz="4" w:space="0" w:color="auto"/>
              <w:right w:val="single" w:sz="4" w:space="0" w:color="auto"/>
            </w:tcBorders>
            <w:vAlign w:val="bottom"/>
          </w:tcPr>
          <w:p w:rsidR="00E86982" w:rsidRPr="00525094" w:rsidRDefault="00E86982" w:rsidP="00E84A98">
            <w:pPr>
              <w:jc w:val="center"/>
              <w:rPr>
                <w:b/>
                <w:bCs/>
                <w:sz w:val="20"/>
                <w:szCs w:val="20"/>
              </w:rPr>
            </w:pPr>
            <w:r w:rsidRPr="00525094">
              <w:rPr>
                <w:b/>
                <w:bCs/>
                <w:sz w:val="20"/>
                <w:szCs w:val="20"/>
              </w:rPr>
              <w:t>TOPLAM</w:t>
            </w:r>
          </w:p>
        </w:tc>
      </w:tr>
      <w:tr w:rsidR="00E86982" w:rsidRPr="00525094" w:rsidTr="00E84A98">
        <w:trPr>
          <w:trHeight w:val="255"/>
        </w:trPr>
        <w:tc>
          <w:tcPr>
            <w:tcW w:w="7038" w:type="dxa"/>
            <w:tcBorders>
              <w:top w:val="nil"/>
              <w:left w:val="single" w:sz="4" w:space="0" w:color="auto"/>
              <w:bottom w:val="single" w:sz="4" w:space="0" w:color="auto"/>
              <w:right w:val="single" w:sz="4" w:space="0" w:color="auto"/>
            </w:tcBorders>
            <w:vAlign w:val="center"/>
          </w:tcPr>
          <w:p w:rsidR="00E86982" w:rsidRPr="00525094" w:rsidRDefault="00E86982" w:rsidP="00E84A98">
            <w:pPr>
              <w:rPr>
                <w:sz w:val="20"/>
                <w:szCs w:val="20"/>
              </w:rPr>
            </w:pPr>
            <w:r w:rsidRPr="00525094">
              <w:rPr>
                <w:sz w:val="20"/>
                <w:szCs w:val="20"/>
              </w:rPr>
              <w:t>Isparta Merkez (Batı Yerleşkesi)</w:t>
            </w:r>
          </w:p>
        </w:tc>
        <w:tc>
          <w:tcPr>
            <w:tcW w:w="2034" w:type="dxa"/>
            <w:tcBorders>
              <w:top w:val="single" w:sz="4" w:space="0" w:color="auto"/>
              <w:left w:val="single" w:sz="4" w:space="0" w:color="auto"/>
              <w:bottom w:val="single" w:sz="4" w:space="0" w:color="auto"/>
              <w:right w:val="single" w:sz="4" w:space="0" w:color="auto"/>
            </w:tcBorders>
            <w:vAlign w:val="bottom"/>
          </w:tcPr>
          <w:p w:rsidR="00E86982" w:rsidRPr="00525094" w:rsidRDefault="00E86982" w:rsidP="00E84A98">
            <w:pPr>
              <w:jc w:val="right"/>
              <w:rPr>
                <w:sz w:val="20"/>
                <w:szCs w:val="20"/>
              </w:rPr>
            </w:pPr>
            <w:r w:rsidRPr="00525094">
              <w:rPr>
                <w:sz w:val="20"/>
                <w:szCs w:val="20"/>
              </w:rPr>
              <w:t>3.476.373,37</w:t>
            </w:r>
          </w:p>
        </w:tc>
      </w:tr>
      <w:tr w:rsidR="00E86982" w:rsidRPr="00525094" w:rsidTr="00E84A98">
        <w:trPr>
          <w:trHeight w:val="255"/>
        </w:trPr>
        <w:tc>
          <w:tcPr>
            <w:tcW w:w="7038" w:type="dxa"/>
            <w:tcBorders>
              <w:top w:val="nil"/>
              <w:left w:val="single" w:sz="4" w:space="0" w:color="auto"/>
              <w:bottom w:val="single" w:sz="4" w:space="0" w:color="auto"/>
              <w:right w:val="single" w:sz="4" w:space="0" w:color="auto"/>
            </w:tcBorders>
            <w:vAlign w:val="center"/>
          </w:tcPr>
          <w:p w:rsidR="00E86982" w:rsidRPr="00525094" w:rsidRDefault="00E86982" w:rsidP="00E84A98">
            <w:pPr>
              <w:rPr>
                <w:sz w:val="20"/>
                <w:szCs w:val="20"/>
              </w:rPr>
            </w:pPr>
            <w:r w:rsidRPr="00525094">
              <w:rPr>
                <w:sz w:val="20"/>
                <w:szCs w:val="20"/>
              </w:rPr>
              <w:t>Isparta Merkez (Doğu Yerleşkesi)</w:t>
            </w:r>
          </w:p>
        </w:tc>
        <w:tc>
          <w:tcPr>
            <w:tcW w:w="2034" w:type="dxa"/>
            <w:tcBorders>
              <w:top w:val="single" w:sz="4" w:space="0" w:color="auto"/>
              <w:left w:val="single" w:sz="4" w:space="0" w:color="auto"/>
              <w:bottom w:val="single" w:sz="4" w:space="0" w:color="auto"/>
              <w:right w:val="single" w:sz="4" w:space="0" w:color="auto"/>
            </w:tcBorders>
            <w:vAlign w:val="bottom"/>
          </w:tcPr>
          <w:p w:rsidR="00E86982" w:rsidRPr="00525094" w:rsidRDefault="00E86982" w:rsidP="00E84A98">
            <w:pPr>
              <w:jc w:val="right"/>
              <w:rPr>
                <w:sz w:val="20"/>
                <w:szCs w:val="20"/>
              </w:rPr>
            </w:pPr>
            <w:r w:rsidRPr="00525094">
              <w:rPr>
                <w:sz w:val="20"/>
                <w:szCs w:val="20"/>
              </w:rPr>
              <w:t>2.679.882,57</w:t>
            </w:r>
          </w:p>
        </w:tc>
      </w:tr>
      <w:tr w:rsidR="00E86982" w:rsidRPr="00525094" w:rsidTr="00E84A98">
        <w:trPr>
          <w:trHeight w:val="255"/>
        </w:trPr>
        <w:tc>
          <w:tcPr>
            <w:tcW w:w="7038" w:type="dxa"/>
            <w:tcBorders>
              <w:top w:val="nil"/>
              <w:left w:val="single" w:sz="4" w:space="0" w:color="auto"/>
              <w:bottom w:val="single" w:sz="4" w:space="0" w:color="auto"/>
              <w:right w:val="single" w:sz="4" w:space="0" w:color="auto"/>
            </w:tcBorders>
            <w:vAlign w:val="center"/>
          </w:tcPr>
          <w:p w:rsidR="00E86982" w:rsidRPr="00525094" w:rsidRDefault="00E86982" w:rsidP="00E84A98">
            <w:pPr>
              <w:rPr>
                <w:sz w:val="20"/>
                <w:szCs w:val="20"/>
              </w:rPr>
            </w:pPr>
            <w:r w:rsidRPr="00525094">
              <w:rPr>
                <w:sz w:val="20"/>
                <w:szCs w:val="20"/>
              </w:rPr>
              <w:t>Isparta Merkez (Diğer)</w:t>
            </w:r>
          </w:p>
        </w:tc>
        <w:tc>
          <w:tcPr>
            <w:tcW w:w="2034" w:type="dxa"/>
            <w:tcBorders>
              <w:top w:val="single" w:sz="4" w:space="0" w:color="auto"/>
              <w:left w:val="single" w:sz="4" w:space="0" w:color="auto"/>
              <w:bottom w:val="single" w:sz="4" w:space="0" w:color="auto"/>
              <w:right w:val="single" w:sz="4" w:space="0" w:color="auto"/>
            </w:tcBorders>
            <w:vAlign w:val="bottom"/>
          </w:tcPr>
          <w:p w:rsidR="00E86982" w:rsidRPr="00525094" w:rsidRDefault="00E86982" w:rsidP="00E84A98">
            <w:pPr>
              <w:jc w:val="right"/>
              <w:rPr>
                <w:sz w:val="20"/>
                <w:szCs w:val="20"/>
              </w:rPr>
            </w:pPr>
            <w:r w:rsidRPr="00525094">
              <w:rPr>
                <w:sz w:val="20"/>
                <w:szCs w:val="20"/>
              </w:rPr>
              <w:t>73.368,24</w:t>
            </w:r>
          </w:p>
        </w:tc>
      </w:tr>
      <w:tr w:rsidR="00E86982" w:rsidRPr="00525094" w:rsidTr="00E84A98">
        <w:trPr>
          <w:trHeight w:val="255"/>
        </w:trPr>
        <w:tc>
          <w:tcPr>
            <w:tcW w:w="7038" w:type="dxa"/>
            <w:tcBorders>
              <w:top w:val="nil"/>
              <w:left w:val="single" w:sz="4" w:space="0" w:color="auto"/>
              <w:bottom w:val="single" w:sz="4" w:space="0" w:color="auto"/>
              <w:right w:val="single" w:sz="4" w:space="0" w:color="auto"/>
            </w:tcBorders>
            <w:vAlign w:val="center"/>
          </w:tcPr>
          <w:p w:rsidR="00E86982" w:rsidRPr="00525094" w:rsidRDefault="00E86982" w:rsidP="00E84A98">
            <w:pPr>
              <w:rPr>
                <w:sz w:val="20"/>
                <w:szCs w:val="20"/>
              </w:rPr>
            </w:pPr>
            <w:r w:rsidRPr="00525094">
              <w:rPr>
                <w:sz w:val="20"/>
                <w:szCs w:val="20"/>
              </w:rPr>
              <w:t xml:space="preserve">Isparta ilçelerindeki yerleşkeler, Uygulama Alanları, Çiftlik ve Bahçeler </w:t>
            </w:r>
          </w:p>
        </w:tc>
        <w:tc>
          <w:tcPr>
            <w:tcW w:w="2034" w:type="dxa"/>
            <w:tcBorders>
              <w:top w:val="single" w:sz="4" w:space="0" w:color="auto"/>
              <w:left w:val="single" w:sz="4" w:space="0" w:color="auto"/>
              <w:bottom w:val="single" w:sz="4" w:space="0" w:color="auto"/>
              <w:right w:val="single" w:sz="4" w:space="0" w:color="auto"/>
            </w:tcBorders>
            <w:vAlign w:val="bottom"/>
          </w:tcPr>
          <w:p w:rsidR="00E86982" w:rsidRPr="00525094" w:rsidRDefault="00E86982" w:rsidP="00E84A98">
            <w:pPr>
              <w:jc w:val="right"/>
              <w:rPr>
                <w:sz w:val="20"/>
                <w:szCs w:val="20"/>
              </w:rPr>
            </w:pPr>
            <w:r w:rsidRPr="00525094">
              <w:rPr>
                <w:sz w:val="20"/>
                <w:szCs w:val="20"/>
              </w:rPr>
              <w:t>15.930.644,20</w:t>
            </w:r>
          </w:p>
        </w:tc>
      </w:tr>
      <w:tr w:rsidR="00E86982" w:rsidRPr="00525094" w:rsidTr="00E84A98">
        <w:trPr>
          <w:trHeight w:val="255"/>
        </w:trPr>
        <w:tc>
          <w:tcPr>
            <w:tcW w:w="7038" w:type="dxa"/>
            <w:tcBorders>
              <w:top w:val="nil"/>
              <w:left w:val="single" w:sz="4" w:space="0" w:color="auto"/>
              <w:bottom w:val="single" w:sz="4" w:space="0" w:color="auto"/>
              <w:right w:val="single" w:sz="4" w:space="0" w:color="auto"/>
            </w:tcBorders>
            <w:vAlign w:val="center"/>
          </w:tcPr>
          <w:p w:rsidR="00E86982" w:rsidRPr="00525094" w:rsidRDefault="00E86982" w:rsidP="00E84A98">
            <w:pPr>
              <w:rPr>
                <w:sz w:val="20"/>
                <w:szCs w:val="20"/>
              </w:rPr>
            </w:pPr>
            <w:r w:rsidRPr="00525094">
              <w:rPr>
                <w:sz w:val="20"/>
                <w:szCs w:val="20"/>
              </w:rPr>
              <w:t>Aydın Kuşadası Yerleşkesi</w:t>
            </w:r>
          </w:p>
        </w:tc>
        <w:tc>
          <w:tcPr>
            <w:tcW w:w="2034" w:type="dxa"/>
            <w:tcBorders>
              <w:top w:val="single" w:sz="4" w:space="0" w:color="auto"/>
              <w:left w:val="single" w:sz="4" w:space="0" w:color="auto"/>
              <w:bottom w:val="single" w:sz="4" w:space="0" w:color="auto"/>
              <w:right w:val="single" w:sz="4" w:space="0" w:color="auto"/>
            </w:tcBorders>
            <w:vAlign w:val="bottom"/>
          </w:tcPr>
          <w:p w:rsidR="00E86982" w:rsidRPr="00525094" w:rsidRDefault="00E86982" w:rsidP="00E84A98">
            <w:pPr>
              <w:jc w:val="right"/>
              <w:rPr>
                <w:sz w:val="20"/>
                <w:szCs w:val="20"/>
              </w:rPr>
            </w:pPr>
            <w:r w:rsidRPr="00525094">
              <w:rPr>
                <w:sz w:val="20"/>
                <w:szCs w:val="20"/>
              </w:rPr>
              <w:t>254.62</w:t>
            </w:r>
          </w:p>
        </w:tc>
      </w:tr>
      <w:tr w:rsidR="00E86982" w:rsidRPr="00525094" w:rsidTr="00E84A98">
        <w:trPr>
          <w:trHeight w:val="255"/>
        </w:trPr>
        <w:tc>
          <w:tcPr>
            <w:tcW w:w="7038" w:type="dxa"/>
            <w:tcBorders>
              <w:top w:val="single" w:sz="4" w:space="0" w:color="auto"/>
              <w:left w:val="single" w:sz="4" w:space="0" w:color="auto"/>
              <w:bottom w:val="single" w:sz="4" w:space="0" w:color="auto"/>
              <w:right w:val="single" w:sz="4" w:space="0" w:color="auto"/>
            </w:tcBorders>
            <w:shd w:val="clear" w:color="000000" w:fill="FFFFFF"/>
          </w:tcPr>
          <w:p w:rsidR="00E86982" w:rsidRPr="00525094" w:rsidRDefault="00E86982" w:rsidP="00E84A98">
            <w:pPr>
              <w:rPr>
                <w:bCs/>
                <w:sz w:val="20"/>
                <w:szCs w:val="20"/>
              </w:rPr>
            </w:pPr>
            <w:r w:rsidRPr="00525094">
              <w:rPr>
                <w:bCs/>
                <w:sz w:val="20"/>
                <w:szCs w:val="20"/>
              </w:rPr>
              <w:t>Burdur-Ağlasun Orman Uygulama Alanı</w:t>
            </w:r>
          </w:p>
        </w:tc>
        <w:tc>
          <w:tcPr>
            <w:tcW w:w="2034" w:type="dxa"/>
            <w:tcBorders>
              <w:top w:val="single" w:sz="4" w:space="0" w:color="auto"/>
              <w:left w:val="single" w:sz="4" w:space="0" w:color="auto"/>
              <w:bottom w:val="single" w:sz="4" w:space="0" w:color="auto"/>
              <w:right w:val="single" w:sz="4" w:space="0" w:color="auto"/>
            </w:tcBorders>
            <w:vAlign w:val="center"/>
          </w:tcPr>
          <w:p w:rsidR="00E86982" w:rsidRPr="00525094" w:rsidRDefault="00E86982" w:rsidP="00E84A98">
            <w:pPr>
              <w:jc w:val="right"/>
              <w:rPr>
                <w:bCs/>
                <w:sz w:val="20"/>
                <w:szCs w:val="20"/>
              </w:rPr>
            </w:pPr>
            <w:r w:rsidRPr="00525094">
              <w:rPr>
                <w:bCs/>
                <w:sz w:val="20"/>
                <w:szCs w:val="20"/>
              </w:rPr>
              <w:t>1.585.000,00</w:t>
            </w:r>
          </w:p>
        </w:tc>
      </w:tr>
      <w:tr w:rsidR="00E86982" w:rsidRPr="00525094" w:rsidTr="00E84A98">
        <w:trPr>
          <w:trHeight w:val="255"/>
        </w:trPr>
        <w:tc>
          <w:tcPr>
            <w:tcW w:w="7038" w:type="dxa"/>
            <w:tcBorders>
              <w:top w:val="single" w:sz="4" w:space="0" w:color="auto"/>
              <w:left w:val="single" w:sz="4" w:space="0" w:color="auto"/>
              <w:bottom w:val="single" w:sz="4" w:space="0" w:color="auto"/>
              <w:right w:val="single" w:sz="4" w:space="0" w:color="auto"/>
            </w:tcBorders>
            <w:shd w:val="clear" w:color="000000" w:fill="FFFFFF"/>
          </w:tcPr>
          <w:p w:rsidR="00E86982" w:rsidRPr="00525094" w:rsidRDefault="00E86982" w:rsidP="00E84A98">
            <w:pPr>
              <w:jc w:val="center"/>
              <w:rPr>
                <w:b/>
                <w:bCs/>
                <w:sz w:val="20"/>
                <w:szCs w:val="20"/>
              </w:rPr>
            </w:pPr>
            <w:r w:rsidRPr="00525094">
              <w:rPr>
                <w:b/>
                <w:bCs/>
                <w:sz w:val="20"/>
                <w:szCs w:val="20"/>
              </w:rPr>
              <w:t>TOPLAM</w:t>
            </w:r>
          </w:p>
        </w:tc>
        <w:tc>
          <w:tcPr>
            <w:tcW w:w="2034" w:type="dxa"/>
            <w:tcBorders>
              <w:top w:val="single" w:sz="4" w:space="0" w:color="auto"/>
              <w:left w:val="single" w:sz="4" w:space="0" w:color="auto"/>
              <w:bottom w:val="single" w:sz="4" w:space="0" w:color="auto"/>
              <w:right w:val="single" w:sz="4" w:space="0" w:color="auto"/>
            </w:tcBorders>
            <w:vAlign w:val="center"/>
          </w:tcPr>
          <w:p w:rsidR="00E86982" w:rsidRPr="00525094" w:rsidRDefault="00E86982" w:rsidP="00E84A98">
            <w:pPr>
              <w:keepNext/>
              <w:jc w:val="right"/>
              <w:rPr>
                <w:b/>
                <w:bCs/>
                <w:sz w:val="20"/>
                <w:szCs w:val="20"/>
              </w:rPr>
            </w:pPr>
            <w:r w:rsidRPr="00525094">
              <w:rPr>
                <w:b/>
                <w:bCs/>
                <w:sz w:val="20"/>
                <w:szCs w:val="20"/>
              </w:rPr>
              <w:t>23.745.268,38</w:t>
            </w:r>
          </w:p>
        </w:tc>
      </w:tr>
    </w:tbl>
    <w:p w:rsidR="00E86982" w:rsidRDefault="00E86982" w:rsidP="00E86982">
      <w:pPr>
        <w:pStyle w:val="ResimYazs"/>
        <w:jc w:val="center"/>
      </w:pPr>
      <w:bookmarkStart w:id="2" w:name="_Toc328988658"/>
      <w:bookmarkStart w:id="3" w:name="_Toc329014599"/>
      <w:r>
        <w:t xml:space="preserve">Tablo </w:t>
      </w:r>
      <w:fldSimple w:instr=" SEQ Tablo \* ARABIC ">
        <w:r>
          <w:rPr>
            <w:noProof/>
          </w:rPr>
          <w:t>1</w:t>
        </w:r>
      </w:fldSimple>
      <w:r>
        <w:t xml:space="preserve"> </w:t>
      </w:r>
      <w:r w:rsidRPr="00A57DCC">
        <w:t>Süleyman Demirel Üniversitesi’nin yüzölçümü</w:t>
      </w:r>
      <w:bookmarkEnd w:id="2"/>
      <w:bookmarkEnd w:id="3"/>
    </w:p>
    <w:p w:rsidR="00E86982" w:rsidRPr="00554B49" w:rsidRDefault="00E86982" w:rsidP="00E86982">
      <w:pPr>
        <w:pStyle w:val="Balk4"/>
        <w:spacing w:after="120"/>
        <w:ind w:left="862" w:hanging="862"/>
        <w:rPr>
          <w:color w:val="000000"/>
        </w:rPr>
      </w:pPr>
      <w:bookmarkStart w:id="4" w:name="_Toc257710014"/>
      <w:bookmarkStart w:id="5" w:name="_Toc329101254"/>
      <w:r w:rsidRPr="00554B49">
        <w:rPr>
          <w:color w:val="000000"/>
        </w:rPr>
        <w:t>Kapalı Alanlar</w:t>
      </w:r>
      <w:bookmarkEnd w:id="4"/>
      <w:bookmarkEnd w:id="5"/>
    </w:p>
    <w:p w:rsidR="00E86982" w:rsidRPr="00554B49" w:rsidRDefault="00E86982" w:rsidP="00E86982">
      <w:pPr>
        <w:spacing w:before="120" w:after="120"/>
        <w:rPr>
          <w:color w:val="000000"/>
        </w:rPr>
      </w:pPr>
      <w:r w:rsidRPr="00554B49">
        <w:rPr>
          <w:color w:val="000000"/>
        </w:rPr>
        <w:t>Üniversitenin öğretim, araştırma-geliştirme, sağlık ve bunlara bağlı destek hizmetlerinin, sürdürüldüğü toplam kapalı alan 436.220 m</w:t>
      </w:r>
      <w:r w:rsidRPr="00554B49">
        <w:rPr>
          <w:color w:val="000000"/>
          <w:vertAlign w:val="superscript"/>
        </w:rPr>
        <w:t>2</w:t>
      </w:r>
      <w:r w:rsidRPr="00554B49">
        <w:rPr>
          <w:color w:val="000000"/>
        </w:rPr>
        <w:t>’dir. Bu kapalı alanların 76.415 m</w:t>
      </w:r>
      <w:r w:rsidRPr="00554B49">
        <w:rPr>
          <w:color w:val="000000"/>
          <w:vertAlign w:val="superscript"/>
        </w:rPr>
        <w:t>2</w:t>
      </w:r>
      <w:r w:rsidRPr="00554B49">
        <w:rPr>
          <w:color w:val="000000"/>
        </w:rPr>
        <w:t>’si Batı Yerleşkesinde, 263.692 m</w:t>
      </w:r>
      <w:r w:rsidRPr="00554B49">
        <w:rPr>
          <w:color w:val="000000"/>
          <w:vertAlign w:val="superscript"/>
        </w:rPr>
        <w:t>2</w:t>
      </w:r>
      <w:r w:rsidRPr="00554B49">
        <w:rPr>
          <w:color w:val="000000"/>
        </w:rPr>
        <w:t>’si Doğu Yerleşkesinde, 13.622 m</w:t>
      </w:r>
      <w:r w:rsidRPr="00554B49">
        <w:rPr>
          <w:color w:val="000000"/>
          <w:vertAlign w:val="superscript"/>
        </w:rPr>
        <w:t>2</w:t>
      </w:r>
      <w:r w:rsidRPr="00554B49">
        <w:rPr>
          <w:color w:val="000000"/>
        </w:rPr>
        <w:t>’si Isparta il merkezinde, 82.491 m</w:t>
      </w:r>
      <w:r w:rsidRPr="00554B49">
        <w:rPr>
          <w:color w:val="000000"/>
          <w:vertAlign w:val="superscript"/>
        </w:rPr>
        <w:t>2</w:t>
      </w:r>
      <w:r w:rsidRPr="00554B49">
        <w:rPr>
          <w:color w:val="000000"/>
        </w:rPr>
        <w:t>’si de Isparta’nın ilçelerinde ve diğer yerleşkeler olan illerdedir.</w:t>
      </w:r>
    </w:p>
    <w:p w:rsidR="00E86982" w:rsidRPr="00554B49" w:rsidRDefault="00E86982" w:rsidP="00E86982">
      <w:pPr>
        <w:spacing w:before="120" w:after="240"/>
        <w:rPr>
          <w:color w:val="000000"/>
        </w:rPr>
      </w:pPr>
      <w:r w:rsidRPr="00554B49">
        <w:rPr>
          <w:color w:val="000000"/>
        </w:rPr>
        <w:t>Süleyman Demirel Üniversitesi’nin toplam örtülü alanları Tablo 2’de gösterilmiştir. Örtülü alanlarımızın 168.090 m</w:t>
      </w:r>
      <w:r w:rsidRPr="00554B49">
        <w:rPr>
          <w:color w:val="000000"/>
          <w:vertAlign w:val="superscript"/>
        </w:rPr>
        <w:t>2</w:t>
      </w:r>
      <w:r w:rsidRPr="00554B49">
        <w:rPr>
          <w:color w:val="000000"/>
        </w:rPr>
        <w:t>’si idari, 108.939 m</w:t>
      </w:r>
      <w:r w:rsidRPr="00554B49">
        <w:rPr>
          <w:color w:val="000000"/>
          <w:vertAlign w:val="superscript"/>
        </w:rPr>
        <w:t>2</w:t>
      </w:r>
      <w:r w:rsidRPr="00554B49">
        <w:rPr>
          <w:color w:val="000000"/>
        </w:rPr>
        <w:t>’si eğitim, 201.172 m</w:t>
      </w:r>
      <w:r w:rsidRPr="00554B49">
        <w:rPr>
          <w:color w:val="000000"/>
          <w:vertAlign w:val="superscript"/>
        </w:rPr>
        <w:t>2</w:t>
      </w:r>
      <w:r w:rsidRPr="00554B49">
        <w:rPr>
          <w:color w:val="000000"/>
        </w:rPr>
        <w:t>’si sosyal alanlar ile açık spor alanları olmak üzere toplam örtülü alan 478.201 m</w:t>
      </w:r>
      <w:r w:rsidRPr="00554B49">
        <w:rPr>
          <w:color w:val="000000"/>
          <w:vertAlign w:val="superscript"/>
        </w:rPr>
        <w:t>2</w:t>
      </w:r>
      <w:r w:rsidRPr="00554B49">
        <w:rPr>
          <w:color w:val="000000"/>
        </w:rPr>
        <w:t>’dir.</w:t>
      </w:r>
    </w:p>
    <w:p w:rsidR="00E86982" w:rsidRPr="00554B49" w:rsidRDefault="00E86982" w:rsidP="00E86982">
      <w:pPr>
        <w:spacing w:before="120" w:after="240"/>
      </w:pPr>
    </w:p>
    <w:p w:rsidR="00815901" w:rsidRDefault="00815901"/>
    <w:sectPr w:rsidR="00815901" w:rsidSect="008159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49D"/>
    <w:multiLevelType w:val="hybridMultilevel"/>
    <w:tmpl w:val="DD1864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2A0C83"/>
    <w:multiLevelType w:val="multilevel"/>
    <w:tmpl w:val="DBE808B8"/>
    <w:lvl w:ilvl="0">
      <w:start w:val="1"/>
      <w:numFmt w:val="upperRoman"/>
      <w:pStyle w:val="Balk1"/>
      <w:suff w:val="nothing"/>
      <w:lvlText w:val="%1."/>
      <w:lvlJc w:val="left"/>
      <w:pPr>
        <w:ind w:left="432" w:hanging="432"/>
      </w:pPr>
      <w:rPr>
        <w:rFonts w:ascii="Times New Roman" w:hAnsi="Times New Roman" w:hint="default"/>
        <w:b/>
        <w:i w:val="0"/>
        <w:caps w:val="0"/>
        <w:strike w:val="0"/>
        <w:dstrike w:val="0"/>
        <w:outline w:val="0"/>
        <w:shadow w:val="0"/>
        <w:emboss w:val="0"/>
        <w:imprint w:val="0"/>
        <w:vanish w:val="0"/>
        <w:sz w:val="24"/>
        <w:szCs w:val="24"/>
        <w:vertAlign w:val="baseline"/>
      </w:rPr>
    </w:lvl>
    <w:lvl w:ilvl="1">
      <w:start w:val="1"/>
      <w:numFmt w:val="upperLetter"/>
      <w:pStyle w:val="Balk2"/>
      <w:suff w:val="nothing"/>
      <w:lvlText w:val="%1.%2."/>
      <w:lvlJc w:val="left"/>
      <w:pPr>
        <w:ind w:left="576" w:hanging="576"/>
      </w:pPr>
      <w:rPr>
        <w:rFonts w:ascii="Times New Roman" w:hAnsi="Times New Roman" w:hint="default"/>
        <w:b/>
        <w:i w:val="0"/>
        <w:caps w:val="0"/>
        <w:strike w:val="0"/>
        <w:dstrike w:val="0"/>
        <w:outline w:val="0"/>
        <w:shadow w:val="0"/>
        <w:emboss w:val="0"/>
        <w:imprint w:val="0"/>
        <w:vanish w:val="0"/>
        <w:color w:val="auto"/>
        <w:sz w:val="24"/>
        <w:szCs w:val="24"/>
        <w:vertAlign w:val="baseline"/>
      </w:rPr>
    </w:lvl>
    <w:lvl w:ilvl="2">
      <w:start w:val="1"/>
      <w:numFmt w:val="decimal"/>
      <w:pStyle w:val="Balk3"/>
      <w:suff w:val="nothing"/>
      <w:lvlText w:val="%1.%2.%3."/>
      <w:lvlJc w:val="left"/>
      <w:pPr>
        <w:ind w:left="720" w:hanging="720"/>
      </w:pPr>
      <w:rPr>
        <w:rFonts w:ascii="Times New Roman" w:hAnsi="Times New Roman" w:hint="default"/>
        <w:b/>
        <w:i w:val="0"/>
        <w:caps w:val="0"/>
        <w:strike w:val="0"/>
        <w:dstrike w:val="0"/>
        <w:outline w:val="0"/>
        <w:shadow w:val="0"/>
        <w:emboss w:val="0"/>
        <w:imprint w:val="0"/>
        <w:vanish w:val="0"/>
        <w:sz w:val="24"/>
        <w:szCs w:val="24"/>
        <w:vertAlign w:val="baseline"/>
      </w:rPr>
    </w:lvl>
    <w:lvl w:ilvl="3">
      <w:start w:val="1"/>
      <w:numFmt w:val="decimal"/>
      <w:pStyle w:val="Balk4"/>
      <w:suff w:val="nothing"/>
      <w:lvlText w:val="%1.%2.%3.%4."/>
      <w:lvlJc w:val="left"/>
      <w:pPr>
        <w:ind w:left="864" w:hanging="864"/>
      </w:pPr>
      <w:rPr>
        <w:rFonts w:ascii="Times New Roman" w:hAnsi="Times New Roman" w:hint="default"/>
        <w:b/>
        <w:i w:val="0"/>
        <w:caps w:val="0"/>
        <w:strike w:val="0"/>
        <w:dstrike w:val="0"/>
        <w:outline w:val="0"/>
        <w:shadow w:val="0"/>
        <w:emboss w:val="0"/>
        <w:imprint w:val="0"/>
        <w:vanish w:val="0"/>
        <w:sz w:val="24"/>
        <w:szCs w:val="24"/>
        <w:vertAlign w:val="baseline"/>
      </w:rPr>
    </w:lvl>
    <w:lvl w:ilvl="4">
      <w:start w:val="1"/>
      <w:numFmt w:val="decimal"/>
      <w:pStyle w:val="Balk5"/>
      <w:suff w:val="nothing"/>
      <w:lvlText w:val="%1.%2.%3.%4.%5."/>
      <w:lvlJc w:val="left"/>
      <w:pPr>
        <w:ind w:left="993" w:firstLine="0"/>
      </w:pPr>
      <w:rPr>
        <w:rFonts w:ascii="Times New Roman" w:hAnsi="Times New Roman" w:hint="default"/>
        <w:b/>
        <w:i w:val="0"/>
        <w:caps w:val="0"/>
        <w:strike w:val="0"/>
        <w:dstrike w:val="0"/>
        <w:outline w:val="0"/>
        <w:shadow w:val="0"/>
        <w:emboss w:val="0"/>
        <w:imprint w:val="0"/>
        <w:vanish w:val="0"/>
        <w:sz w:val="24"/>
        <w:szCs w:val="24"/>
        <w:vertAlign w:val="baseline"/>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86982"/>
    <w:rsid w:val="00001F5A"/>
    <w:rsid w:val="00002FB1"/>
    <w:rsid w:val="00003EB1"/>
    <w:rsid w:val="00004273"/>
    <w:rsid w:val="000062CE"/>
    <w:rsid w:val="00012E7A"/>
    <w:rsid w:val="0002633E"/>
    <w:rsid w:val="0004499C"/>
    <w:rsid w:val="00052EDB"/>
    <w:rsid w:val="00053588"/>
    <w:rsid w:val="00053C2C"/>
    <w:rsid w:val="00060513"/>
    <w:rsid w:val="0006188A"/>
    <w:rsid w:val="00080E0A"/>
    <w:rsid w:val="0008242D"/>
    <w:rsid w:val="0009014C"/>
    <w:rsid w:val="000A5FF7"/>
    <w:rsid w:val="000B4A20"/>
    <w:rsid w:val="000E4E8F"/>
    <w:rsid w:val="000E563D"/>
    <w:rsid w:val="000F6C5B"/>
    <w:rsid w:val="00111719"/>
    <w:rsid w:val="00123B82"/>
    <w:rsid w:val="00161246"/>
    <w:rsid w:val="00172F0A"/>
    <w:rsid w:val="00176BA5"/>
    <w:rsid w:val="001815E6"/>
    <w:rsid w:val="001831CB"/>
    <w:rsid w:val="001874EF"/>
    <w:rsid w:val="0019049E"/>
    <w:rsid w:val="001C1FDB"/>
    <w:rsid w:val="001C60E9"/>
    <w:rsid w:val="001D1794"/>
    <w:rsid w:val="001D28C2"/>
    <w:rsid w:val="001D7C6F"/>
    <w:rsid w:val="001E3701"/>
    <w:rsid w:val="001F45B8"/>
    <w:rsid w:val="00205380"/>
    <w:rsid w:val="00207977"/>
    <w:rsid w:val="00211F36"/>
    <w:rsid w:val="00213EEF"/>
    <w:rsid w:val="00214237"/>
    <w:rsid w:val="002151E3"/>
    <w:rsid w:val="002160DF"/>
    <w:rsid w:val="00224AAE"/>
    <w:rsid w:val="002253B7"/>
    <w:rsid w:val="00230965"/>
    <w:rsid w:val="002501A0"/>
    <w:rsid w:val="00253E3A"/>
    <w:rsid w:val="0025435A"/>
    <w:rsid w:val="002608B4"/>
    <w:rsid w:val="00273F28"/>
    <w:rsid w:val="002857B4"/>
    <w:rsid w:val="00295B6C"/>
    <w:rsid w:val="002962BF"/>
    <w:rsid w:val="002B0A55"/>
    <w:rsid w:val="002C063B"/>
    <w:rsid w:val="002C334D"/>
    <w:rsid w:val="002C5F07"/>
    <w:rsid w:val="002E7E7C"/>
    <w:rsid w:val="002E7EC8"/>
    <w:rsid w:val="002F5BCE"/>
    <w:rsid w:val="003013B4"/>
    <w:rsid w:val="00306A3C"/>
    <w:rsid w:val="00333464"/>
    <w:rsid w:val="00337D7E"/>
    <w:rsid w:val="00343951"/>
    <w:rsid w:val="003506A1"/>
    <w:rsid w:val="00350D69"/>
    <w:rsid w:val="003515B1"/>
    <w:rsid w:val="0035233B"/>
    <w:rsid w:val="00362709"/>
    <w:rsid w:val="00367108"/>
    <w:rsid w:val="00367C8A"/>
    <w:rsid w:val="00370AC1"/>
    <w:rsid w:val="003769F5"/>
    <w:rsid w:val="00382BC3"/>
    <w:rsid w:val="00387BA6"/>
    <w:rsid w:val="0039242C"/>
    <w:rsid w:val="00393387"/>
    <w:rsid w:val="003A10CC"/>
    <w:rsid w:val="003A2EF9"/>
    <w:rsid w:val="003A56C7"/>
    <w:rsid w:val="003B2536"/>
    <w:rsid w:val="003B297D"/>
    <w:rsid w:val="003B3327"/>
    <w:rsid w:val="003B510F"/>
    <w:rsid w:val="003B5CBC"/>
    <w:rsid w:val="003C0F19"/>
    <w:rsid w:val="003C324D"/>
    <w:rsid w:val="004016F0"/>
    <w:rsid w:val="0040449D"/>
    <w:rsid w:val="00404EAB"/>
    <w:rsid w:val="00426121"/>
    <w:rsid w:val="00426694"/>
    <w:rsid w:val="00436EBF"/>
    <w:rsid w:val="004433FF"/>
    <w:rsid w:val="00451525"/>
    <w:rsid w:val="00464065"/>
    <w:rsid w:val="00472327"/>
    <w:rsid w:val="004769DB"/>
    <w:rsid w:val="00492EB8"/>
    <w:rsid w:val="004A16BE"/>
    <w:rsid w:val="004A68BA"/>
    <w:rsid w:val="004A6E76"/>
    <w:rsid w:val="004B24ED"/>
    <w:rsid w:val="004B6053"/>
    <w:rsid w:val="004C36A4"/>
    <w:rsid w:val="004C54BC"/>
    <w:rsid w:val="004D1C4D"/>
    <w:rsid w:val="004D1C9F"/>
    <w:rsid w:val="004D5D94"/>
    <w:rsid w:val="004F1105"/>
    <w:rsid w:val="004F1117"/>
    <w:rsid w:val="004F1542"/>
    <w:rsid w:val="004F2606"/>
    <w:rsid w:val="004F5BCF"/>
    <w:rsid w:val="004F6377"/>
    <w:rsid w:val="005037E0"/>
    <w:rsid w:val="00513E42"/>
    <w:rsid w:val="0051632E"/>
    <w:rsid w:val="0053230B"/>
    <w:rsid w:val="00544A42"/>
    <w:rsid w:val="00554880"/>
    <w:rsid w:val="00557534"/>
    <w:rsid w:val="00561F49"/>
    <w:rsid w:val="00586091"/>
    <w:rsid w:val="005A247F"/>
    <w:rsid w:val="005A324D"/>
    <w:rsid w:val="005C2B18"/>
    <w:rsid w:val="005C70C3"/>
    <w:rsid w:val="005D33C6"/>
    <w:rsid w:val="005D3633"/>
    <w:rsid w:val="005E4ED3"/>
    <w:rsid w:val="005F4D71"/>
    <w:rsid w:val="00616144"/>
    <w:rsid w:val="00617B91"/>
    <w:rsid w:val="006254D8"/>
    <w:rsid w:val="00630D0B"/>
    <w:rsid w:val="006377FC"/>
    <w:rsid w:val="006424F2"/>
    <w:rsid w:val="006451D9"/>
    <w:rsid w:val="00646126"/>
    <w:rsid w:val="00653A80"/>
    <w:rsid w:val="00656BA5"/>
    <w:rsid w:val="00666291"/>
    <w:rsid w:val="00674AE4"/>
    <w:rsid w:val="00691FD4"/>
    <w:rsid w:val="006B49C9"/>
    <w:rsid w:val="006D11AB"/>
    <w:rsid w:val="006D2068"/>
    <w:rsid w:val="006D4DCD"/>
    <w:rsid w:val="006E0310"/>
    <w:rsid w:val="006E1253"/>
    <w:rsid w:val="006E1CDD"/>
    <w:rsid w:val="006F7ED6"/>
    <w:rsid w:val="007268DD"/>
    <w:rsid w:val="00731ACF"/>
    <w:rsid w:val="007366EF"/>
    <w:rsid w:val="0075015D"/>
    <w:rsid w:val="007512F4"/>
    <w:rsid w:val="00755BE7"/>
    <w:rsid w:val="007608E9"/>
    <w:rsid w:val="00770E0C"/>
    <w:rsid w:val="007B3F74"/>
    <w:rsid w:val="007B646D"/>
    <w:rsid w:val="007E12CA"/>
    <w:rsid w:val="007E19A1"/>
    <w:rsid w:val="007E28CE"/>
    <w:rsid w:val="007F351B"/>
    <w:rsid w:val="0080142F"/>
    <w:rsid w:val="008019E9"/>
    <w:rsid w:val="00804F23"/>
    <w:rsid w:val="00813AA1"/>
    <w:rsid w:val="00815901"/>
    <w:rsid w:val="00826E19"/>
    <w:rsid w:val="008430A2"/>
    <w:rsid w:val="008529A8"/>
    <w:rsid w:val="008575A2"/>
    <w:rsid w:val="00865B18"/>
    <w:rsid w:val="00882E0B"/>
    <w:rsid w:val="00891E1F"/>
    <w:rsid w:val="00894087"/>
    <w:rsid w:val="0089797B"/>
    <w:rsid w:val="008D61C0"/>
    <w:rsid w:val="008E142F"/>
    <w:rsid w:val="008F0D39"/>
    <w:rsid w:val="008F5E96"/>
    <w:rsid w:val="00900FA4"/>
    <w:rsid w:val="00914753"/>
    <w:rsid w:val="00917A01"/>
    <w:rsid w:val="00925FC2"/>
    <w:rsid w:val="00956664"/>
    <w:rsid w:val="00960DB3"/>
    <w:rsid w:val="00971564"/>
    <w:rsid w:val="00987AA6"/>
    <w:rsid w:val="00990B86"/>
    <w:rsid w:val="00993755"/>
    <w:rsid w:val="00994AEC"/>
    <w:rsid w:val="009A6896"/>
    <w:rsid w:val="009B53E7"/>
    <w:rsid w:val="009E1394"/>
    <w:rsid w:val="009E3406"/>
    <w:rsid w:val="009E41C3"/>
    <w:rsid w:val="009E4D53"/>
    <w:rsid w:val="009E56D6"/>
    <w:rsid w:val="00A0387C"/>
    <w:rsid w:val="00A12CE2"/>
    <w:rsid w:val="00A12E11"/>
    <w:rsid w:val="00A2436A"/>
    <w:rsid w:val="00A27A3B"/>
    <w:rsid w:val="00A4246D"/>
    <w:rsid w:val="00A45549"/>
    <w:rsid w:val="00A51E6B"/>
    <w:rsid w:val="00A606E5"/>
    <w:rsid w:val="00A626F2"/>
    <w:rsid w:val="00A773A0"/>
    <w:rsid w:val="00A820ED"/>
    <w:rsid w:val="00A86A6A"/>
    <w:rsid w:val="00A918AA"/>
    <w:rsid w:val="00AA0028"/>
    <w:rsid w:val="00AA6468"/>
    <w:rsid w:val="00AB740B"/>
    <w:rsid w:val="00AB7F13"/>
    <w:rsid w:val="00AC4F97"/>
    <w:rsid w:val="00AC7532"/>
    <w:rsid w:val="00AE1E32"/>
    <w:rsid w:val="00AE5C5C"/>
    <w:rsid w:val="00AF5DC3"/>
    <w:rsid w:val="00B02D85"/>
    <w:rsid w:val="00B030E0"/>
    <w:rsid w:val="00B10198"/>
    <w:rsid w:val="00B23A5D"/>
    <w:rsid w:val="00B2703D"/>
    <w:rsid w:val="00B44DE7"/>
    <w:rsid w:val="00B62735"/>
    <w:rsid w:val="00B71098"/>
    <w:rsid w:val="00B72226"/>
    <w:rsid w:val="00BA1781"/>
    <w:rsid w:val="00BA48C1"/>
    <w:rsid w:val="00BB1D8A"/>
    <w:rsid w:val="00BD61D1"/>
    <w:rsid w:val="00C01ABA"/>
    <w:rsid w:val="00C161A6"/>
    <w:rsid w:val="00C2219D"/>
    <w:rsid w:val="00C27070"/>
    <w:rsid w:val="00C35F48"/>
    <w:rsid w:val="00C36989"/>
    <w:rsid w:val="00C36A2D"/>
    <w:rsid w:val="00C52D89"/>
    <w:rsid w:val="00C54F9C"/>
    <w:rsid w:val="00C61D3D"/>
    <w:rsid w:val="00C654B7"/>
    <w:rsid w:val="00C6619A"/>
    <w:rsid w:val="00C739A2"/>
    <w:rsid w:val="00CA5A9F"/>
    <w:rsid w:val="00CC729C"/>
    <w:rsid w:val="00CD05DA"/>
    <w:rsid w:val="00CD33F5"/>
    <w:rsid w:val="00CD3C13"/>
    <w:rsid w:val="00CE0462"/>
    <w:rsid w:val="00CE7C6E"/>
    <w:rsid w:val="00CF0240"/>
    <w:rsid w:val="00D07CDB"/>
    <w:rsid w:val="00D4002D"/>
    <w:rsid w:val="00D66D35"/>
    <w:rsid w:val="00D86EFD"/>
    <w:rsid w:val="00DA0CB5"/>
    <w:rsid w:val="00DA6D42"/>
    <w:rsid w:val="00DC2B39"/>
    <w:rsid w:val="00DC32A6"/>
    <w:rsid w:val="00DC5535"/>
    <w:rsid w:val="00DE39CE"/>
    <w:rsid w:val="00DE456A"/>
    <w:rsid w:val="00E12390"/>
    <w:rsid w:val="00E231CA"/>
    <w:rsid w:val="00E25B2A"/>
    <w:rsid w:val="00E2602A"/>
    <w:rsid w:val="00E31008"/>
    <w:rsid w:val="00E31475"/>
    <w:rsid w:val="00E4541D"/>
    <w:rsid w:val="00E4688E"/>
    <w:rsid w:val="00E66E0D"/>
    <w:rsid w:val="00E70417"/>
    <w:rsid w:val="00E745A9"/>
    <w:rsid w:val="00E777FB"/>
    <w:rsid w:val="00E8086F"/>
    <w:rsid w:val="00E86795"/>
    <w:rsid w:val="00E86982"/>
    <w:rsid w:val="00E90003"/>
    <w:rsid w:val="00E943AD"/>
    <w:rsid w:val="00EA2CE1"/>
    <w:rsid w:val="00EC02DD"/>
    <w:rsid w:val="00EC26DA"/>
    <w:rsid w:val="00F0707B"/>
    <w:rsid w:val="00F111FC"/>
    <w:rsid w:val="00F1649C"/>
    <w:rsid w:val="00F21924"/>
    <w:rsid w:val="00F25407"/>
    <w:rsid w:val="00F3013D"/>
    <w:rsid w:val="00F37D9F"/>
    <w:rsid w:val="00F6732C"/>
    <w:rsid w:val="00F74E01"/>
    <w:rsid w:val="00F77F2E"/>
    <w:rsid w:val="00F81281"/>
    <w:rsid w:val="00F84FFE"/>
    <w:rsid w:val="00F8646E"/>
    <w:rsid w:val="00F903B5"/>
    <w:rsid w:val="00F9201B"/>
    <w:rsid w:val="00F97FB9"/>
    <w:rsid w:val="00FA0371"/>
    <w:rsid w:val="00FE51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82"/>
    <w:pPr>
      <w:spacing w:after="0" w:line="24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86982"/>
    <w:pPr>
      <w:keepNext/>
      <w:numPr>
        <w:numId w:val="1"/>
      </w:numPr>
      <w:tabs>
        <w:tab w:val="left" w:pos="284"/>
      </w:tabs>
      <w:spacing w:after="60"/>
      <w:outlineLvl w:val="0"/>
    </w:pPr>
    <w:rPr>
      <w:b/>
      <w:bCs/>
    </w:rPr>
  </w:style>
  <w:style w:type="paragraph" w:styleId="Balk2">
    <w:name w:val="heading 2"/>
    <w:aliases w:val=" Char,Char"/>
    <w:basedOn w:val="Normal"/>
    <w:next w:val="Normal"/>
    <w:link w:val="Balk2Char"/>
    <w:qFormat/>
    <w:rsid w:val="00E86982"/>
    <w:pPr>
      <w:numPr>
        <w:ilvl w:val="1"/>
        <w:numId w:val="1"/>
      </w:numPr>
      <w:spacing w:after="60"/>
      <w:outlineLvl w:val="1"/>
    </w:pPr>
    <w:rPr>
      <w:b/>
      <w:bCs/>
      <w:iCs/>
      <w:szCs w:val="28"/>
    </w:rPr>
  </w:style>
  <w:style w:type="paragraph" w:styleId="Balk3">
    <w:name w:val="heading 3"/>
    <w:basedOn w:val="Normal"/>
    <w:next w:val="Normal"/>
    <w:link w:val="Balk3Char"/>
    <w:qFormat/>
    <w:rsid w:val="00E86982"/>
    <w:pPr>
      <w:keepNext/>
      <w:numPr>
        <w:ilvl w:val="2"/>
        <w:numId w:val="1"/>
      </w:numPr>
      <w:tabs>
        <w:tab w:val="left" w:pos="624"/>
      </w:tabs>
      <w:spacing w:after="60"/>
      <w:outlineLvl w:val="2"/>
    </w:pPr>
    <w:rPr>
      <w:b/>
      <w:bCs/>
      <w:szCs w:val="26"/>
    </w:rPr>
  </w:style>
  <w:style w:type="paragraph" w:styleId="Balk4">
    <w:name w:val="heading 4"/>
    <w:basedOn w:val="Normal"/>
    <w:next w:val="Normal"/>
    <w:link w:val="Balk4Char"/>
    <w:qFormat/>
    <w:rsid w:val="00E86982"/>
    <w:pPr>
      <w:numPr>
        <w:ilvl w:val="3"/>
        <w:numId w:val="1"/>
      </w:numPr>
      <w:spacing w:after="60"/>
      <w:outlineLvl w:val="3"/>
    </w:pPr>
    <w:rPr>
      <w:b/>
      <w:bCs/>
      <w:szCs w:val="28"/>
    </w:rPr>
  </w:style>
  <w:style w:type="paragraph" w:styleId="Balk5">
    <w:name w:val="heading 5"/>
    <w:basedOn w:val="Normal"/>
    <w:next w:val="Normal"/>
    <w:link w:val="Balk5Char"/>
    <w:qFormat/>
    <w:rsid w:val="00E86982"/>
    <w:pPr>
      <w:numPr>
        <w:ilvl w:val="4"/>
        <w:numId w:val="1"/>
      </w:numPr>
      <w:tabs>
        <w:tab w:val="left" w:pos="1134"/>
      </w:tabs>
      <w:spacing w:after="60"/>
      <w:ind w:left="0"/>
      <w:outlineLvl w:val="4"/>
    </w:pPr>
    <w:rPr>
      <w:b/>
      <w:bCs/>
      <w:iCs/>
      <w:szCs w:val="26"/>
    </w:rPr>
  </w:style>
  <w:style w:type="paragraph" w:styleId="Balk6">
    <w:name w:val="heading 6"/>
    <w:basedOn w:val="Normal"/>
    <w:next w:val="Normal"/>
    <w:link w:val="Balk6Char"/>
    <w:qFormat/>
    <w:rsid w:val="00E86982"/>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E86982"/>
    <w:pPr>
      <w:numPr>
        <w:ilvl w:val="6"/>
        <w:numId w:val="1"/>
      </w:numPr>
      <w:spacing w:before="240" w:after="60"/>
      <w:outlineLvl w:val="6"/>
    </w:pPr>
  </w:style>
  <w:style w:type="paragraph" w:styleId="Balk8">
    <w:name w:val="heading 8"/>
    <w:basedOn w:val="Normal"/>
    <w:next w:val="Normal"/>
    <w:link w:val="Balk8Char"/>
    <w:qFormat/>
    <w:rsid w:val="00E86982"/>
    <w:pPr>
      <w:numPr>
        <w:ilvl w:val="7"/>
        <w:numId w:val="1"/>
      </w:numPr>
      <w:spacing w:before="240" w:after="60"/>
      <w:outlineLvl w:val="7"/>
    </w:pPr>
    <w:rPr>
      <w:i/>
      <w:iCs/>
    </w:rPr>
  </w:style>
  <w:style w:type="paragraph" w:styleId="Balk9">
    <w:name w:val="heading 9"/>
    <w:basedOn w:val="Normal"/>
    <w:next w:val="Normal"/>
    <w:link w:val="Balk9Char"/>
    <w:qFormat/>
    <w:rsid w:val="00E86982"/>
    <w:pPr>
      <w:numPr>
        <w:ilvl w:val="8"/>
        <w:numId w:val="1"/>
      </w:numPr>
      <w:spacing w:before="240" w:after="60"/>
      <w:outlineLvl w:val="8"/>
    </w:pPr>
    <w:rPr>
      <w:rFonts w:ascii="Arial" w:hAnsi="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86982"/>
    <w:rPr>
      <w:rFonts w:ascii="Times New Roman" w:eastAsia="Times New Roman" w:hAnsi="Times New Roman" w:cs="Times New Roman"/>
      <w:b/>
      <w:bCs/>
      <w:sz w:val="24"/>
      <w:szCs w:val="24"/>
    </w:rPr>
  </w:style>
  <w:style w:type="character" w:customStyle="1" w:styleId="Balk2Char">
    <w:name w:val="Başlık 2 Char"/>
    <w:aliases w:val=" Char Char,Char Char"/>
    <w:basedOn w:val="VarsaylanParagrafYazTipi"/>
    <w:link w:val="Balk2"/>
    <w:rsid w:val="00E86982"/>
    <w:rPr>
      <w:rFonts w:ascii="Times New Roman" w:eastAsia="Times New Roman" w:hAnsi="Times New Roman" w:cs="Times New Roman"/>
      <w:b/>
      <w:bCs/>
      <w:iCs/>
      <w:sz w:val="24"/>
      <w:szCs w:val="28"/>
    </w:rPr>
  </w:style>
  <w:style w:type="character" w:customStyle="1" w:styleId="Balk3Char">
    <w:name w:val="Başlık 3 Char"/>
    <w:basedOn w:val="VarsaylanParagrafYazTipi"/>
    <w:link w:val="Balk3"/>
    <w:rsid w:val="00E86982"/>
    <w:rPr>
      <w:rFonts w:ascii="Times New Roman" w:eastAsia="Times New Roman" w:hAnsi="Times New Roman" w:cs="Times New Roman"/>
      <w:b/>
      <w:bCs/>
      <w:sz w:val="24"/>
      <w:szCs w:val="26"/>
    </w:rPr>
  </w:style>
  <w:style w:type="character" w:customStyle="1" w:styleId="Balk4Char">
    <w:name w:val="Başlık 4 Char"/>
    <w:basedOn w:val="VarsaylanParagrafYazTipi"/>
    <w:link w:val="Balk4"/>
    <w:rsid w:val="00E86982"/>
    <w:rPr>
      <w:rFonts w:ascii="Times New Roman" w:eastAsia="Times New Roman" w:hAnsi="Times New Roman" w:cs="Times New Roman"/>
      <w:b/>
      <w:bCs/>
      <w:sz w:val="24"/>
      <w:szCs w:val="28"/>
    </w:rPr>
  </w:style>
  <w:style w:type="character" w:customStyle="1" w:styleId="Balk5Char">
    <w:name w:val="Başlık 5 Char"/>
    <w:basedOn w:val="VarsaylanParagrafYazTipi"/>
    <w:link w:val="Balk5"/>
    <w:rsid w:val="00E86982"/>
    <w:rPr>
      <w:rFonts w:ascii="Times New Roman" w:eastAsia="Times New Roman" w:hAnsi="Times New Roman" w:cs="Times New Roman"/>
      <w:b/>
      <w:bCs/>
      <w:iCs/>
      <w:sz w:val="24"/>
      <w:szCs w:val="26"/>
    </w:rPr>
  </w:style>
  <w:style w:type="character" w:customStyle="1" w:styleId="Balk6Char">
    <w:name w:val="Başlık 6 Char"/>
    <w:basedOn w:val="VarsaylanParagrafYazTipi"/>
    <w:link w:val="Balk6"/>
    <w:rsid w:val="00E86982"/>
    <w:rPr>
      <w:rFonts w:ascii="Times New Roman" w:eastAsia="Times New Roman" w:hAnsi="Times New Roman" w:cs="Times New Roman"/>
      <w:b/>
      <w:bCs/>
    </w:rPr>
  </w:style>
  <w:style w:type="character" w:customStyle="1" w:styleId="Balk7Char">
    <w:name w:val="Başlık 7 Char"/>
    <w:basedOn w:val="VarsaylanParagrafYazTipi"/>
    <w:link w:val="Balk7"/>
    <w:rsid w:val="00E86982"/>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E86982"/>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rsid w:val="00E86982"/>
    <w:rPr>
      <w:rFonts w:ascii="Arial" w:eastAsia="Times New Roman" w:hAnsi="Arial" w:cs="Times New Roman"/>
    </w:rPr>
  </w:style>
  <w:style w:type="paragraph" w:styleId="ListeParagraf">
    <w:name w:val="List Paragraph"/>
    <w:basedOn w:val="Normal"/>
    <w:uiPriority w:val="34"/>
    <w:qFormat/>
    <w:rsid w:val="00E86982"/>
    <w:pPr>
      <w:ind w:left="720"/>
      <w:contextualSpacing/>
    </w:pPr>
  </w:style>
  <w:style w:type="paragraph" w:styleId="ResimYazs">
    <w:name w:val="caption"/>
    <w:basedOn w:val="Normal"/>
    <w:next w:val="Normal"/>
    <w:unhideWhenUsed/>
    <w:qFormat/>
    <w:rsid w:val="00E86982"/>
    <w:pPr>
      <w:spacing w:after="200"/>
      <w:jc w:val="left"/>
    </w:pPr>
    <w:rPr>
      <w:b/>
      <w:bCs/>
      <w:color w:val="000000"/>
      <w:sz w:val="22"/>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Muzaffer ÖZBALCI</cp:lastModifiedBy>
  <cp:revision>6</cp:revision>
  <dcterms:created xsi:type="dcterms:W3CDTF">2013-02-26T08:26:00Z</dcterms:created>
  <dcterms:modified xsi:type="dcterms:W3CDTF">2015-01-29T07:29:00Z</dcterms:modified>
</cp:coreProperties>
</file>