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90" w:rsidRPr="00921A90" w:rsidRDefault="006B1F34" w:rsidP="00921A90">
      <w:pPr>
        <w:rPr>
          <w:color w:val="FF0000"/>
        </w:rPr>
      </w:pPr>
      <w:r>
        <w:rPr>
          <w:color w:val="FF0000"/>
        </w:rPr>
        <w:t>2014</w:t>
      </w:r>
      <w:r w:rsidR="00921A90" w:rsidRPr="00921A90">
        <w:rPr>
          <w:color w:val="FF0000"/>
        </w:rPr>
        <w:t xml:space="preserve"> yılı verileri güncellenecek</w:t>
      </w:r>
    </w:p>
    <w:p w:rsidR="00921A90" w:rsidRDefault="00921A90" w:rsidP="00921A90"/>
    <w:p w:rsidR="00921A90" w:rsidRDefault="00921A90" w:rsidP="00921A90">
      <w:r w:rsidRPr="00E57E6A">
        <w:t xml:space="preserve">Üniversitemizin ağ altyapısı 1997 yılında kurulmuştur. İlk kurulumdaki omurga 155 </w:t>
      </w:r>
      <w:proofErr w:type="spellStart"/>
      <w:r w:rsidRPr="00E57E6A">
        <w:t>Mbps</w:t>
      </w:r>
      <w:proofErr w:type="spellEnd"/>
      <w:r w:rsidRPr="00E57E6A">
        <w:t xml:space="preserve"> ATM olarak hayata geçirilmiştir. Kullanıcı tarafında ise 10 </w:t>
      </w:r>
      <w:proofErr w:type="spellStart"/>
      <w:r w:rsidRPr="00E57E6A">
        <w:t>Mbps</w:t>
      </w:r>
      <w:proofErr w:type="spellEnd"/>
      <w:r w:rsidRPr="00E57E6A">
        <w:t xml:space="preserve"> Ethernet hizmete sunulmuştur. Gelişen ağ teknolojileri ve artan kullanıcı sayısı omurganın değişimini zorunlu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895350</wp:posOffset>
            </wp:positionV>
            <wp:extent cx="3636010" cy="2430145"/>
            <wp:effectExtent l="19050" t="0" r="2540" b="0"/>
            <wp:wrapTight wrapText="bothSides">
              <wp:wrapPolygon edited="0">
                <wp:start x="-113" y="0"/>
                <wp:lineTo x="-113" y="21504"/>
                <wp:lineTo x="21615" y="21504"/>
                <wp:lineTo x="21615" y="0"/>
                <wp:lineTo x="-113" y="0"/>
              </wp:wrapPolygon>
            </wp:wrapTight>
            <wp:docPr id="44" name="Resim 44" descr="kutupha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utupha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E6A">
        <w:t xml:space="preserve">kılmış ve 2003 yılında network omurgamız 1 </w:t>
      </w:r>
      <w:proofErr w:type="spellStart"/>
      <w:r w:rsidRPr="00E57E6A">
        <w:t>Gbps</w:t>
      </w:r>
      <w:proofErr w:type="spellEnd"/>
      <w:r w:rsidRPr="00E57E6A">
        <w:t xml:space="preserve"> Ethernet üzerine taşınmaya başlanmıştır. Omurganın değişimine paralel olarak kullanıcılara 350 </w:t>
      </w:r>
      <w:proofErr w:type="spellStart"/>
      <w:r w:rsidRPr="00E57E6A">
        <w:t>Mbps</w:t>
      </w:r>
      <w:proofErr w:type="spellEnd"/>
      <w:r w:rsidRPr="00E57E6A">
        <w:t xml:space="preserve"> Ethernet sunulmaya başlanmıştır. Merkez yerleşkemiz 34 </w:t>
      </w:r>
      <w:proofErr w:type="spellStart"/>
      <w:r w:rsidRPr="00E57E6A">
        <w:t>Mbit</w:t>
      </w:r>
      <w:proofErr w:type="spellEnd"/>
      <w:r w:rsidRPr="00E57E6A">
        <w:t xml:space="preserve"> (ATM) Ulak-Net bağlantısına sahiptir. Dış birimlerde bulunan Meslek Yüksekokulu ve fakültelerin bu bağlantıdan faydalanabilmesi için 2004 yılı içinde ilçelerde bulunan birimlerimizin 128 </w:t>
      </w:r>
      <w:proofErr w:type="spellStart"/>
      <w:r w:rsidRPr="00E57E6A">
        <w:t>Kbps</w:t>
      </w:r>
      <w:proofErr w:type="spellEnd"/>
      <w:r w:rsidRPr="00E57E6A">
        <w:t xml:space="preserve"> - 256 </w:t>
      </w:r>
      <w:proofErr w:type="spellStart"/>
      <w:r w:rsidRPr="00E57E6A">
        <w:t>Kbps</w:t>
      </w:r>
      <w:proofErr w:type="spellEnd"/>
      <w:r w:rsidRPr="00E57E6A">
        <w:t xml:space="preserve"> (</w:t>
      </w:r>
      <w:proofErr w:type="spellStart"/>
      <w:r w:rsidRPr="00E57E6A">
        <w:t>frame</w:t>
      </w:r>
      <w:proofErr w:type="spellEnd"/>
      <w:r w:rsidRPr="00E57E6A">
        <w:t>-</w:t>
      </w:r>
      <w:proofErr w:type="spellStart"/>
      <w:r w:rsidRPr="00E57E6A">
        <w:t>relay</w:t>
      </w:r>
      <w:proofErr w:type="spellEnd"/>
      <w:r w:rsidRPr="00E57E6A">
        <w:t xml:space="preserve">) hızlarında merkez yerleşkeye bağlantısı yapılmış ve 2006 yılında bağlantıları 1 </w:t>
      </w:r>
      <w:proofErr w:type="spellStart"/>
      <w:r w:rsidRPr="00E57E6A">
        <w:t>Mbit'e</w:t>
      </w:r>
      <w:proofErr w:type="spellEnd"/>
      <w:r w:rsidRPr="00E57E6A">
        <w:t xml:space="preserve"> yükseltilerek, kesintisiz ve verimli bir internet kullanımı sağlanmıştır. 2008 yılında Ulak-Net bağlantısı 100 </w:t>
      </w:r>
      <w:proofErr w:type="spellStart"/>
      <w:r w:rsidRPr="00E57E6A">
        <w:t>Mbps</w:t>
      </w:r>
      <w:r>
        <w:t>’</w:t>
      </w:r>
      <w:r w:rsidRPr="00E57E6A">
        <w:t>a</w:t>
      </w:r>
      <w:proofErr w:type="spellEnd"/>
      <w:r w:rsidRPr="00E57E6A">
        <w:t xml:space="preserve"> çıkarılmıştır. 2010 yılında Dış birim bağlantıları Metro Ethernet olarak değiştirilmiş ve toplam bağlantı hızı 100 </w:t>
      </w:r>
      <w:proofErr w:type="spellStart"/>
      <w:r w:rsidRPr="00E57E6A">
        <w:t>Mbps</w:t>
      </w:r>
      <w:proofErr w:type="spellEnd"/>
      <w:r w:rsidRPr="00E57E6A">
        <w:t xml:space="preserve"> a çıkarılmıştır. Ulak-Net bağla</w:t>
      </w:r>
      <w:r>
        <w:t xml:space="preserve">ntı hızı 100 </w:t>
      </w:r>
      <w:proofErr w:type="spellStart"/>
      <w:r>
        <w:t>Mbps</w:t>
      </w:r>
      <w:proofErr w:type="spellEnd"/>
      <w:r>
        <w:t xml:space="preserve"> dan 150 </w:t>
      </w:r>
      <w:proofErr w:type="spellStart"/>
      <w:r>
        <w:t>Mbps</w:t>
      </w:r>
      <w:proofErr w:type="spellEnd"/>
      <w:r>
        <w:t xml:space="preserve"> ‘</w:t>
      </w:r>
      <w:r w:rsidRPr="00E57E6A">
        <w:t>a</w:t>
      </w:r>
      <w:r>
        <w:t>,</w:t>
      </w:r>
      <w:r w:rsidRPr="00E57E6A">
        <w:t xml:space="preserve"> yükseltilmiştir. Dış birimlerin de ilavesi ile Üniversitemiz toplam bant genişliği 250 </w:t>
      </w:r>
      <w:proofErr w:type="spellStart"/>
      <w:r w:rsidRPr="00E57E6A">
        <w:t>Mbps</w:t>
      </w:r>
      <w:proofErr w:type="spellEnd"/>
      <w:r w:rsidRPr="00E57E6A">
        <w:t xml:space="preserve"> olmuştur. Kablosuz ağ sunucusu kurulup erişim noktalarında gerekli ayarlar yapılarak kablosuz ağ devreye alınmıştır.  2011 yılında merkez yerleşke ve dış birimler toplam bant genişliği 350 </w:t>
      </w:r>
      <w:proofErr w:type="spellStart"/>
      <w:r w:rsidRPr="00E57E6A">
        <w:t>Mbps’a</w:t>
      </w:r>
      <w:proofErr w:type="spellEnd"/>
      <w:r w:rsidRPr="00E57E6A">
        <w:t xml:space="preserve"> yükseltilmiştir. Kablosuz erişim noktaları artırılarak yaygınlaşması sağlanmıştır. 2012 yılı başlarında merkez </w:t>
      </w:r>
      <w:proofErr w:type="spellStart"/>
      <w:r w:rsidRPr="00E57E6A">
        <w:t>kampüs</w:t>
      </w:r>
      <w:proofErr w:type="spellEnd"/>
      <w:r w:rsidRPr="00E57E6A">
        <w:t xml:space="preserve"> bağlantı hızı 350 </w:t>
      </w:r>
      <w:proofErr w:type="spellStart"/>
      <w:r w:rsidRPr="00E57E6A">
        <w:t>Mbps’e</w:t>
      </w:r>
      <w:proofErr w:type="spellEnd"/>
      <w:r w:rsidRPr="00E57E6A">
        <w:t xml:space="preserve">, dış birimler bağlantı hızı 150 </w:t>
      </w:r>
      <w:proofErr w:type="spellStart"/>
      <w:r w:rsidRPr="00E57E6A">
        <w:t>Mbps’a</w:t>
      </w:r>
      <w:proofErr w:type="spellEnd"/>
      <w:r w:rsidRPr="00E57E6A">
        <w:t xml:space="preserve"> çıkarılarak üniversitemiz toplam bağlantı hızı 500 </w:t>
      </w:r>
      <w:proofErr w:type="spellStart"/>
      <w:r w:rsidRPr="00E57E6A">
        <w:t>Mbps</w:t>
      </w:r>
      <w:proofErr w:type="spellEnd"/>
      <w:r w:rsidRPr="00E57E6A">
        <w:t xml:space="preserve"> olarak kullanılmaya başlanmıştır</w:t>
      </w:r>
    </w:p>
    <w:p w:rsidR="00921A90" w:rsidRPr="00E57E6A" w:rsidRDefault="00921A90" w:rsidP="00921A90"/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7601"/>
      </w:tblGrid>
      <w:tr w:rsidR="00921A90" w:rsidRPr="00E57E6A" w:rsidTr="009631CF">
        <w:trPr>
          <w:cantSplit/>
          <w:trHeight w:hRule="exact" w:val="270"/>
        </w:trPr>
        <w:tc>
          <w:tcPr>
            <w:tcW w:w="9090" w:type="dxa"/>
            <w:gridSpan w:val="2"/>
            <w:shd w:val="clear" w:color="auto" w:fill="B8CCE4" w:themeFill="accent1" w:themeFillTint="66"/>
            <w:noWrap/>
            <w:vAlign w:val="bottom"/>
          </w:tcPr>
          <w:p w:rsidR="00921A90" w:rsidRPr="00E57E6A" w:rsidRDefault="00921A90" w:rsidP="009631CF">
            <w:pPr>
              <w:jc w:val="center"/>
              <w:rPr>
                <w:b/>
                <w:color w:val="000000"/>
                <w:sz w:val="20"/>
              </w:rPr>
            </w:pPr>
            <w:r w:rsidRPr="00E57E6A">
              <w:rPr>
                <w:b/>
                <w:color w:val="000000"/>
                <w:sz w:val="20"/>
                <w:szCs w:val="22"/>
              </w:rPr>
              <w:t>Sunucu hizmeti kapsamında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B8CCE4" w:themeFill="accent1" w:themeFillTint="66"/>
            <w:noWrap/>
            <w:vAlign w:val="bottom"/>
          </w:tcPr>
          <w:p w:rsidR="00921A90" w:rsidRPr="00E57E6A" w:rsidRDefault="00921A90" w:rsidP="009631CF">
            <w:pPr>
              <w:jc w:val="center"/>
              <w:rPr>
                <w:b/>
                <w:color w:val="000000"/>
                <w:sz w:val="20"/>
              </w:rPr>
            </w:pPr>
            <w:r w:rsidRPr="00E57E6A">
              <w:rPr>
                <w:b/>
                <w:color w:val="000000"/>
                <w:sz w:val="20"/>
                <w:szCs w:val="22"/>
              </w:rPr>
              <w:t>Sunucu Sayısı</w:t>
            </w:r>
          </w:p>
        </w:tc>
        <w:tc>
          <w:tcPr>
            <w:tcW w:w="7601" w:type="dxa"/>
            <w:shd w:val="clear" w:color="auto" w:fill="B8CCE4" w:themeFill="accent1" w:themeFillTint="66"/>
            <w:noWrap/>
            <w:vAlign w:val="bottom"/>
          </w:tcPr>
          <w:p w:rsidR="00921A90" w:rsidRPr="00E57E6A" w:rsidRDefault="00921A90" w:rsidP="009631CF">
            <w:pPr>
              <w:rPr>
                <w:b/>
                <w:color w:val="000000"/>
                <w:sz w:val="20"/>
              </w:rPr>
            </w:pPr>
            <w:r w:rsidRPr="00E57E6A">
              <w:rPr>
                <w:b/>
                <w:color w:val="000000"/>
                <w:sz w:val="20"/>
                <w:szCs w:val="22"/>
              </w:rPr>
              <w:t>Sunucunun Kullanım Amacı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Windows Tabanlı Sanallaştırma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Linux tabanlı sanallaştırma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DNS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DHCP - NAT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 xml:space="preserve">Web </w:t>
            </w:r>
            <w:proofErr w:type="spellStart"/>
            <w:r w:rsidRPr="00E57E6A">
              <w:rPr>
                <w:color w:val="000000"/>
                <w:sz w:val="20"/>
                <w:szCs w:val="22"/>
              </w:rPr>
              <w:t>Cache</w:t>
            </w:r>
            <w:proofErr w:type="spellEnd"/>
            <w:r w:rsidRPr="00E57E6A">
              <w:rPr>
                <w:color w:val="000000"/>
                <w:sz w:val="20"/>
                <w:szCs w:val="22"/>
              </w:rPr>
              <w:t xml:space="preserve"> ve Analiz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Web Sayfaları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Öğrenci İşleri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Network Hizmetleri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 xml:space="preserve">Veri Tabanı </w:t>
            </w:r>
            <w:proofErr w:type="spellStart"/>
            <w:r w:rsidRPr="00E57E6A">
              <w:rPr>
                <w:color w:val="000000"/>
                <w:sz w:val="20"/>
                <w:szCs w:val="22"/>
              </w:rPr>
              <w:t>Yönetmi</w:t>
            </w:r>
            <w:proofErr w:type="spellEnd"/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Evrak Sistemi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Maaş Programı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Strateji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Öğrenci Mail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Personel Mail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Yemekhane, Havuz ve Kimlik Kartı Otomasyonu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color w:val="000000"/>
                <w:sz w:val="20"/>
              </w:rPr>
            </w:pPr>
            <w:r w:rsidRPr="00E57E6A">
              <w:rPr>
                <w:color w:val="000000"/>
                <w:sz w:val="20"/>
                <w:szCs w:val="22"/>
              </w:rPr>
              <w:t>Diğer Programlar ve Hizmetler</w:t>
            </w:r>
          </w:p>
        </w:tc>
      </w:tr>
      <w:tr w:rsidR="00921A90" w:rsidRPr="00E57E6A" w:rsidTr="009631CF">
        <w:trPr>
          <w:cantSplit/>
          <w:trHeight w:hRule="exact" w:val="270"/>
        </w:trPr>
        <w:tc>
          <w:tcPr>
            <w:tcW w:w="1489" w:type="dxa"/>
            <w:shd w:val="clear" w:color="auto" w:fill="auto"/>
            <w:noWrap/>
            <w:tcMar>
              <w:left w:w="0" w:type="dxa"/>
              <w:right w:w="227" w:type="dxa"/>
            </w:tcMar>
            <w:vAlign w:val="bottom"/>
          </w:tcPr>
          <w:p w:rsidR="00921A90" w:rsidRPr="00E57E6A" w:rsidRDefault="00921A90" w:rsidP="009631CF">
            <w:pPr>
              <w:jc w:val="right"/>
              <w:rPr>
                <w:b/>
                <w:color w:val="000000"/>
                <w:sz w:val="20"/>
              </w:rPr>
            </w:pPr>
            <w:r w:rsidRPr="00E57E6A">
              <w:rPr>
                <w:b/>
                <w:color w:val="000000"/>
                <w:sz w:val="20"/>
                <w:szCs w:val="22"/>
              </w:rPr>
              <w:t>31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921A90" w:rsidRPr="00E57E6A" w:rsidRDefault="00921A90" w:rsidP="009631CF">
            <w:pPr>
              <w:rPr>
                <w:b/>
                <w:color w:val="000000"/>
                <w:sz w:val="20"/>
              </w:rPr>
            </w:pPr>
            <w:r w:rsidRPr="00E57E6A">
              <w:rPr>
                <w:b/>
                <w:color w:val="000000"/>
                <w:sz w:val="20"/>
                <w:szCs w:val="22"/>
              </w:rPr>
              <w:t>TOPLAM</w:t>
            </w:r>
          </w:p>
        </w:tc>
      </w:tr>
    </w:tbl>
    <w:p w:rsidR="00537B70" w:rsidRDefault="00537B70"/>
    <w:sectPr w:rsidR="00537B70" w:rsidSect="0053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1A90"/>
    <w:rsid w:val="00374ECC"/>
    <w:rsid w:val="00537B70"/>
    <w:rsid w:val="006B1F34"/>
    <w:rsid w:val="0092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Muzaffer ÖZBALCI</cp:lastModifiedBy>
  <cp:revision>4</cp:revision>
  <dcterms:created xsi:type="dcterms:W3CDTF">2014-05-26T08:09:00Z</dcterms:created>
  <dcterms:modified xsi:type="dcterms:W3CDTF">2015-01-29T07:31:00Z</dcterms:modified>
</cp:coreProperties>
</file>